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B39B" w14:textId="25B39820" w:rsidR="00A60CE6" w:rsidRPr="003E1B54" w:rsidRDefault="003E1B54" w:rsidP="003E1B54">
      <w:pPr>
        <w:pStyle w:val="OATsubheader1"/>
        <w:jc w:val="center"/>
        <w:rPr>
          <w:b/>
          <w:bCs/>
          <w:color w:val="auto"/>
        </w:rPr>
      </w:pPr>
      <w:bookmarkStart w:id="0" w:name="_Toc196402610"/>
      <w:bookmarkStart w:id="1" w:name="_Hlk197010707"/>
      <w:r w:rsidRPr="003E1B54">
        <w:rPr>
          <w:b/>
          <w:bCs/>
          <w:color w:val="auto"/>
        </w:rPr>
        <w:t>FC10 - Conflicts</w:t>
      </w:r>
      <w:r w:rsidR="00A60CE6" w:rsidRPr="003E1B54">
        <w:rPr>
          <w:b/>
          <w:bCs/>
          <w:color w:val="auto"/>
        </w:rPr>
        <w:t xml:space="preserve"> of Interest Declaration</w:t>
      </w:r>
      <w:bookmarkEnd w:id="0"/>
    </w:p>
    <w:p w14:paraId="04B91B99" w14:textId="77777777" w:rsidR="00EB2500" w:rsidRPr="003E1B54" w:rsidRDefault="00EB2500" w:rsidP="008C34BC">
      <w:pPr>
        <w:pStyle w:val="OATsubheader1"/>
        <w:rPr>
          <w:color w:val="auto"/>
        </w:rPr>
      </w:pPr>
      <w:r w:rsidRPr="003E1B54">
        <w:rPr>
          <w:color w:val="auto"/>
        </w:rPr>
        <w:t>Background</w:t>
      </w:r>
    </w:p>
    <w:p w14:paraId="4C647D65" w14:textId="7AB34BC6" w:rsidR="00EB2500" w:rsidRPr="003E1B54" w:rsidRDefault="00EB2500" w:rsidP="00EB2500">
      <w:r w:rsidRPr="003E1B54">
        <w:t xml:space="preserve">We expect suppliers to mitigate appropriately against any real or perceived conflict of interest through their work with </w:t>
      </w:r>
      <w:r w:rsidR="00254C02" w:rsidRPr="003E1B54">
        <w:t>OAT</w:t>
      </w:r>
    </w:p>
    <w:p w14:paraId="462B6A1A" w14:textId="77777777" w:rsidR="00EB2500" w:rsidRPr="00CF66A8" w:rsidRDefault="00EB2500" w:rsidP="00EB2500">
      <w:r w:rsidRPr="003E1B54">
        <w:t>A su</w:t>
      </w:r>
      <w:r w:rsidRPr="00CF66A8">
        <w:t>pplier with a position of influence gained through a contract should not use that position to unfairly disadvantage any other supplier or reduce the potential for future competition.</w:t>
      </w:r>
    </w:p>
    <w:p w14:paraId="0A923C31" w14:textId="4B6EDC5F" w:rsidR="00EB2500" w:rsidRPr="00CF66A8" w:rsidRDefault="00EB2500" w:rsidP="00EB2500">
      <w:r w:rsidRPr="00CF66A8">
        <w:t xml:space="preserve">It is therefore crucial that suppliers and potential suppliers to </w:t>
      </w:r>
      <w:r w:rsidR="00254C02" w:rsidRPr="00CF66A8">
        <w:t>OAT</w:t>
      </w:r>
      <w:r w:rsidRPr="00CF66A8">
        <w:t xml:space="preserve"> have equivalent systems in place to prevent, identify and remedy conflicts of interest which may include (but are not limited to): </w:t>
      </w:r>
    </w:p>
    <w:p w14:paraId="271BE7FD" w14:textId="1B94A699" w:rsidR="00EB2500" w:rsidRPr="00CF66A8" w:rsidRDefault="00EB2500" w:rsidP="008C34BC">
      <w:pPr>
        <w:pStyle w:val="OATliststyle"/>
        <w:rPr>
          <w:sz w:val="22"/>
          <w:szCs w:val="22"/>
        </w:rPr>
      </w:pPr>
      <w:r w:rsidRPr="00CF66A8">
        <w:rPr>
          <w:sz w:val="22"/>
          <w:szCs w:val="22"/>
        </w:rPr>
        <w:t xml:space="preserve">Ethical codes which address conflicts of </w:t>
      </w:r>
      <w:proofErr w:type="gramStart"/>
      <w:r w:rsidRPr="00CF66A8">
        <w:rPr>
          <w:sz w:val="22"/>
          <w:szCs w:val="22"/>
        </w:rPr>
        <w:t>interest;</w:t>
      </w:r>
      <w:proofErr w:type="gramEnd"/>
      <w:r w:rsidRPr="00CF66A8">
        <w:rPr>
          <w:sz w:val="22"/>
          <w:szCs w:val="22"/>
        </w:rPr>
        <w:t xml:space="preserve"> </w:t>
      </w:r>
    </w:p>
    <w:p w14:paraId="749F939F" w14:textId="753FB810" w:rsidR="00EB2500" w:rsidRPr="00CF66A8" w:rsidRDefault="00EB2500" w:rsidP="008C34BC">
      <w:pPr>
        <w:pStyle w:val="OATliststyle"/>
        <w:rPr>
          <w:sz w:val="22"/>
          <w:szCs w:val="22"/>
        </w:rPr>
      </w:pPr>
      <w:r w:rsidRPr="00CF66A8">
        <w:rPr>
          <w:sz w:val="22"/>
          <w:szCs w:val="22"/>
        </w:rPr>
        <w:t xml:space="preserve">A conflicts of interest policy - including provision for training and awareness </w:t>
      </w:r>
      <w:proofErr w:type="gramStart"/>
      <w:r w:rsidRPr="00CF66A8">
        <w:rPr>
          <w:sz w:val="22"/>
          <w:szCs w:val="22"/>
        </w:rPr>
        <w:t>raising;</w:t>
      </w:r>
      <w:proofErr w:type="gramEnd"/>
      <w:r w:rsidRPr="00CF66A8">
        <w:rPr>
          <w:sz w:val="22"/>
          <w:szCs w:val="22"/>
        </w:rPr>
        <w:t xml:space="preserve"> </w:t>
      </w:r>
    </w:p>
    <w:p w14:paraId="28EF3C3D" w14:textId="1B38FF29" w:rsidR="00EB2500" w:rsidRPr="00CF66A8" w:rsidRDefault="00EB2500" w:rsidP="008C34BC">
      <w:pPr>
        <w:pStyle w:val="OATliststyle"/>
        <w:rPr>
          <w:sz w:val="22"/>
          <w:szCs w:val="22"/>
        </w:rPr>
      </w:pPr>
      <w:r w:rsidRPr="00CF66A8">
        <w:rPr>
          <w:sz w:val="22"/>
          <w:szCs w:val="22"/>
        </w:rPr>
        <w:t xml:space="preserve">Clear and robust processes for preventing, identifying and remedying conflicts of interest e.g. </w:t>
      </w:r>
    </w:p>
    <w:p w14:paraId="7CE6C533" w14:textId="77777777" w:rsidR="00EB2500" w:rsidRPr="00CF66A8" w:rsidRDefault="00EB2500" w:rsidP="008C34BC">
      <w:pPr>
        <w:pStyle w:val="OATliststyle"/>
        <w:numPr>
          <w:ilvl w:val="1"/>
          <w:numId w:val="66"/>
        </w:numPr>
        <w:rPr>
          <w:sz w:val="22"/>
          <w:szCs w:val="22"/>
        </w:rPr>
      </w:pPr>
      <w:proofErr w:type="gramStart"/>
      <w:r w:rsidRPr="00CF66A8">
        <w:rPr>
          <w:sz w:val="22"/>
          <w:szCs w:val="22"/>
        </w:rPr>
        <w:t>Declarations;</w:t>
      </w:r>
      <w:proofErr w:type="gramEnd"/>
      <w:r w:rsidRPr="00CF66A8">
        <w:rPr>
          <w:sz w:val="22"/>
          <w:szCs w:val="22"/>
        </w:rPr>
        <w:t xml:space="preserve"> </w:t>
      </w:r>
    </w:p>
    <w:p w14:paraId="3C283BF3" w14:textId="77777777" w:rsidR="00EB2500" w:rsidRPr="00CF66A8" w:rsidRDefault="00EB2500" w:rsidP="008C34BC">
      <w:pPr>
        <w:pStyle w:val="OATliststyle"/>
        <w:numPr>
          <w:ilvl w:val="1"/>
          <w:numId w:val="66"/>
        </w:numPr>
        <w:rPr>
          <w:sz w:val="22"/>
          <w:szCs w:val="22"/>
        </w:rPr>
      </w:pPr>
      <w:r w:rsidRPr="00CF66A8">
        <w:rPr>
          <w:sz w:val="22"/>
          <w:szCs w:val="22"/>
        </w:rPr>
        <w:t xml:space="preserve">Assessment of </w:t>
      </w:r>
      <w:proofErr w:type="gramStart"/>
      <w:r w:rsidRPr="00CF66A8">
        <w:rPr>
          <w:sz w:val="22"/>
          <w:szCs w:val="22"/>
        </w:rPr>
        <w:t>conflicts;</w:t>
      </w:r>
      <w:proofErr w:type="gramEnd"/>
      <w:r w:rsidRPr="00CF66A8">
        <w:rPr>
          <w:sz w:val="22"/>
          <w:szCs w:val="22"/>
        </w:rPr>
        <w:t xml:space="preserve"> </w:t>
      </w:r>
    </w:p>
    <w:p w14:paraId="6E90AE05" w14:textId="77777777" w:rsidR="00EB2500" w:rsidRPr="00CF66A8" w:rsidRDefault="00EB2500" w:rsidP="008C34BC">
      <w:pPr>
        <w:pStyle w:val="OATliststyle"/>
        <w:numPr>
          <w:ilvl w:val="1"/>
          <w:numId w:val="66"/>
        </w:numPr>
        <w:rPr>
          <w:sz w:val="22"/>
          <w:szCs w:val="22"/>
        </w:rPr>
      </w:pPr>
      <w:r w:rsidRPr="00CF66A8">
        <w:rPr>
          <w:sz w:val="22"/>
          <w:szCs w:val="22"/>
        </w:rPr>
        <w:t xml:space="preserve">Mitigation </w:t>
      </w:r>
      <w:proofErr w:type="gramStart"/>
      <w:r w:rsidRPr="00CF66A8">
        <w:rPr>
          <w:sz w:val="22"/>
          <w:szCs w:val="22"/>
        </w:rPr>
        <w:t>strategies;</w:t>
      </w:r>
      <w:proofErr w:type="gramEnd"/>
      <w:r w:rsidRPr="00CF66A8">
        <w:rPr>
          <w:sz w:val="22"/>
          <w:szCs w:val="22"/>
        </w:rPr>
        <w:t xml:space="preserve"> </w:t>
      </w:r>
    </w:p>
    <w:p w14:paraId="3F70E05D" w14:textId="77777777" w:rsidR="00EB2500" w:rsidRPr="00CF66A8" w:rsidRDefault="00EB2500" w:rsidP="008C34BC">
      <w:pPr>
        <w:pStyle w:val="OATliststyle"/>
        <w:numPr>
          <w:ilvl w:val="1"/>
          <w:numId w:val="66"/>
        </w:numPr>
        <w:rPr>
          <w:sz w:val="22"/>
          <w:szCs w:val="22"/>
        </w:rPr>
      </w:pPr>
      <w:r w:rsidRPr="00CF66A8">
        <w:rPr>
          <w:sz w:val="22"/>
          <w:szCs w:val="22"/>
        </w:rPr>
        <w:t xml:space="preserve">Recording and monitoring; and </w:t>
      </w:r>
    </w:p>
    <w:p w14:paraId="685C3503" w14:textId="77777777" w:rsidR="00EB2500" w:rsidRPr="00CF66A8" w:rsidRDefault="00EB2500" w:rsidP="008C34BC">
      <w:pPr>
        <w:pStyle w:val="OATliststyle"/>
        <w:numPr>
          <w:ilvl w:val="1"/>
          <w:numId w:val="66"/>
        </w:numPr>
        <w:rPr>
          <w:sz w:val="22"/>
          <w:szCs w:val="22"/>
        </w:rPr>
      </w:pPr>
      <w:r w:rsidRPr="00CF66A8">
        <w:rPr>
          <w:sz w:val="22"/>
          <w:szCs w:val="22"/>
        </w:rPr>
        <w:t xml:space="preserve">Audit and sanctions. </w:t>
      </w:r>
    </w:p>
    <w:p w14:paraId="346A9D24" w14:textId="77777777" w:rsidR="00EB2500" w:rsidRPr="003E1B54" w:rsidRDefault="00EB2500" w:rsidP="00EB2500">
      <w:pPr>
        <w:rPr>
          <w:rFonts w:ascii="Arial" w:hAnsi="Arial" w:cs="Arial"/>
        </w:rPr>
      </w:pPr>
    </w:p>
    <w:p w14:paraId="791B3AE0" w14:textId="77777777" w:rsidR="00EB2500" w:rsidRPr="003E1B54" w:rsidRDefault="00EB2500" w:rsidP="008C34BC">
      <w:pPr>
        <w:pStyle w:val="OATsubheader1"/>
        <w:rPr>
          <w:rFonts w:eastAsia="SimSun"/>
          <w:color w:val="auto"/>
          <w:lang w:eastAsia="zh-CN"/>
        </w:rPr>
      </w:pPr>
      <w:r w:rsidRPr="003E1B54">
        <w:rPr>
          <w:rFonts w:eastAsia="SimSun"/>
          <w:color w:val="auto"/>
          <w:lang w:eastAsia="zh-CN"/>
        </w:rPr>
        <w:t xml:space="preserve">CONFLICTS OF INTEREST DECLARATION – </w:t>
      </w:r>
      <w:r w:rsidRPr="003E1B54">
        <w:rPr>
          <w:rFonts w:eastAsia="SimSun"/>
          <w:color w:val="auto"/>
          <w:highlight w:val="yellow"/>
          <w:lang w:eastAsia="zh-CN"/>
        </w:rPr>
        <w:t>[State Contract Title here]</w:t>
      </w:r>
    </w:p>
    <w:p w14:paraId="24AEAA8C" w14:textId="77777777" w:rsidR="00EB2500" w:rsidRPr="003E1B54" w:rsidRDefault="00EB2500" w:rsidP="008C34BC">
      <w:pPr>
        <w:pStyle w:val="OATsubheader1"/>
        <w:rPr>
          <w:color w:val="auto"/>
        </w:rPr>
      </w:pPr>
      <w:r w:rsidRPr="003E1B54">
        <w:rPr>
          <w:color w:val="auto"/>
        </w:rPr>
        <w:t>Please complete Section A or B as appropriate</w:t>
      </w:r>
      <w:r w:rsidRPr="003E1B54">
        <w:rPr>
          <w:color w:val="auto"/>
        </w:rPr>
        <w:br/>
      </w:r>
      <w:r w:rsidRPr="003E1B54">
        <w:rPr>
          <w:color w:val="auto"/>
        </w:rPr>
        <w:br/>
        <w:t>Section A</w:t>
      </w:r>
    </w:p>
    <w:p w14:paraId="5BD18A69" w14:textId="77777777" w:rsidR="00EB2500" w:rsidRPr="003E1B54" w:rsidRDefault="00EB2500" w:rsidP="00EB2500">
      <w:pPr>
        <w:rPr>
          <w:rFonts w:cs="Arial"/>
        </w:rPr>
      </w:pPr>
      <w:r w:rsidRPr="003E1B54">
        <w:rPr>
          <w:rFonts w:cs="Arial"/>
        </w:rPr>
        <w:t>I/We warrant that:</w:t>
      </w:r>
    </w:p>
    <w:p w14:paraId="10B7B7E9" w14:textId="77777777" w:rsidR="00EB2500" w:rsidRPr="003E1B54" w:rsidRDefault="00EB2500" w:rsidP="00EB2500">
      <w:pPr>
        <w:rPr>
          <w:rFonts w:cs="Arial"/>
        </w:rPr>
      </w:pPr>
      <w:r w:rsidRPr="003E1B54">
        <w:rPr>
          <w:rFonts w:cs="Arial"/>
        </w:rPr>
        <w:t xml:space="preserve">There would be </w:t>
      </w:r>
      <w:r w:rsidRPr="003E1B54">
        <w:rPr>
          <w:rFonts w:cs="Arial"/>
          <w:b/>
          <w:bCs/>
        </w:rPr>
        <w:t>no conflict or perceived conflict of interest</w:t>
      </w:r>
      <w:r w:rsidRPr="003E1B54">
        <w:rPr>
          <w:rFonts w:cs="Arial"/>
        </w:rPr>
        <w:t xml:space="preserve"> in relation to OAT personnel or the type of work involved in this contract. I/We acknowledge that a failure by us to declare a potential conflict of interest, which I/We should have reasonably known about, may result in our disqualification from the tender process or a termination of any contract awarded </w:t>
      </w:r>
      <w:proofErr w:type="gramStart"/>
      <w:r w:rsidRPr="003E1B54">
        <w:rPr>
          <w:rFonts w:cs="Arial"/>
        </w:rPr>
        <w:t>as a result of</w:t>
      </w:r>
      <w:proofErr w:type="gramEnd"/>
      <w:r w:rsidRPr="003E1B54">
        <w:rPr>
          <w:rFonts w:cs="Arial"/>
        </w:rPr>
        <w:t xml:space="preserve"> this tender process.</w:t>
      </w:r>
    </w:p>
    <w:p w14:paraId="73173058" w14:textId="77777777" w:rsidR="00EB2500" w:rsidRPr="003E1B54" w:rsidRDefault="00EB2500" w:rsidP="00EB2500">
      <w:pPr>
        <w:rPr>
          <w:rFonts w:cs="Arial"/>
          <w:u w:val="single"/>
        </w:rPr>
      </w:pPr>
      <w:r w:rsidRPr="003E1B54">
        <w:rPr>
          <w:rFonts w:cs="Arial"/>
        </w:rPr>
        <w:t>Name:</w:t>
      </w:r>
      <w:r w:rsidRPr="003E1B54">
        <w:rPr>
          <w:rFonts w:cs="Arial"/>
        </w:rPr>
        <w:tab/>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5BA6A3D7" w14:textId="77777777" w:rsidR="00EB2500" w:rsidRPr="003E1B54" w:rsidRDefault="00EB2500" w:rsidP="00EB2500">
      <w:pPr>
        <w:rPr>
          <w:rFonts w:cs="Arial"/>
          <w:u w:val="single"/>
        </w:rPr>
      </w:pPr>
      <w:r w:rsidRPr="003E1B54">
        <w:rPr>
          <w:rFonts w:cs="Arial"/>
        </w:rPr>
        <w:t>Position/Status:</w:t>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22E86352" w14:textId="77777777" w:rsidR="00EB2500" w:rsidRPr="003E1B54" w:rsidRDefault="00EB2500" w:rsidP="00EB2500">
      <w:pPr>
        <w:rPr>
          <w:rFonts w:cs="Arial"/>
          <w:u w:val="single"/>
        </w:rPr>
      </w:pPr>
      <w:r w:rsidRPr="003E1B54">
        <w:rPr>
          <w:rFonts w:cs="Arial"/>
        </w:rPr>
        <w:t>Company Name:</w:t>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48371010" w14:textId="77777777" w:rsidR="00EB2500" w:rsidRPr="003E1B54" w:rsidRDefault="00EB2500" w:rsidP="00EB2500">
      <w:pPr>
        <w:rPr>
          <w:rFonts w:cs="Arial"/>
          <w:u w:val="single"/>
        </w:rPr>
      </w:pPr>
      <w:r w:rsidRPr="003E1B54">
        <w:rPr>
          <w:rFonts w:cs="Arial"/>
        </w:rPr>
        <w:t>Address:</w:t>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03701666" w14:textId="77777777" w:rsidR="00EB2500" w:rsidRPr="003E1B54" w:rsidRDefault="00EB2500" w:rsidP="00EB2500">
      <w:pPr>
        <w:rPr>
          <w:u w:val="single"/>
        </w:rPr>
      </w:pPr>
      <w:r w:rsidRPr="003E1B54">
        <w:rPr>
          <w:rFonts w:cs="Arial"/>
        </w:rPr>
        <w:t>Date:</w:t>
      </w:r>
      <w:r w:rsidRPr="003E1B54">
        <w:rPr>
          <w:rFonts w:cs="Arial"/>
        </w:rPr>
        <w:tab/>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7E17FFB2" w14:textId="77777777" w:rsidR="00EB2500" w:rsidRPr="003E1B54" w:rsidRDefault="00EB2500" w:rsidP="00EB2500">
      <w:pPr>
        <w:rPr>
          <w:rFonts w:cs="Arial"/>
        </w:rPr>
      </w:pPr>
    </w:p>
    <w:p w14:paraId="79B95C27" w14:textId="77777777" w:rsidR="00EB2500" w:rsidRPr="003E1B54" w:rsidRDefault="00EB2500" w:rsidP="00EB2500">
      <w:pPr>
        <w:rPr>
          <w:rFonts w:cs="Arial"/>
        </w:rPr>
      </w:pPr>
    </w:p>
    <w:p w14:paraId="4A0BDE31" w14:textId="77777777" w:rsidR="00EB2500" w:rsidRPr="003E1B54" w:rsidRDefault="00EB2500" w:rsidP="008C34BC">
      <w:pPr>
        <w:pStyle w:val="OATsubheader1"/>
        <w:rPr>
          <w:color w:val="auto"/>
        </w:rPr>
      </w:pPr>
      <w:r w:rsidRPr="003E1B54">
        <w:rPr>
          <w:color w:val="auto"/>
        </w:rPr>
        <w:t>Section B</w:t>
      </w:r>
      <w:r w:rsidRPr="003E1B54">
        <w:rPr>
          <w:color w:val="auto"/>
        </w:rPr>
        <w:br/>
      </w:r>
    </w:p>
    <w:p w14:paraId="4457E5F3" w14:textId="77777777" w:rsidR="00EB2500" w:rsidRPr="003E1B54" w:rsidRDefault="00EB2500" w:rsidP="00EB2500">
      <w:pPr>
        <w:rPr>
          <w:rFonts w:cs="Arial"/>
        </w:rPr>
      </w:pPr>
      <w:r w:rsidRPr="003E1B54">
        <w:rPr>
          <w:rFonts w:cs="Arial"/>
        </w:rPr>
        <w:t>I / We warrant that:</w:t>
      </w:r>
    </w:p>
    <w:p w14:paraId="7B1D878C" w14:textId="4740E5BA" w:rsidR="00EB2500" w:rsidRPr="003E1B54" w:rsidRDefault="00EB2500" w:rsidP="002634C9">
      <w:pPr>
        <w:numPr>
          <w:ilvl w:val="1"/>
          <w:numId w:val="53"/>
        </w:numPr>
        <w:tabs>
          <w:tab w:val="num" w:pos="567"/>
        </w:tabs>
        <w:spacing w:line="276" w:lineRule="auto"/>
        <w:ind w:left="567"/>
        <w:rPr>
          <w:rFonts w:cs="Arial"/>
        </w:rPr>
      </w:pPr>
      <w:r w:rsidRPr="003E1B54">
        <w:rPr>
          <w:rFonts w:cs="Arial"/>
        </w:rPr>
        <w:lastRenderedPageBreak/>
        <w:t>There could be a possible conflict or perceived conflict in relation to OAT personnel or the type of work involved in this contract.</w:t>
      </w:r>
      <w:r w:rsidRPr="003E1B54">
        <w:rPr>
          <w:rFonts w:cs="Arial"/>
        </w:rPr>
        <w:br/>
      </w:r>
      <w:r w:rsidRPr="003E1B54">
        <w:rPr>
          <w:rFonts w:cs="Arial"/>
        </w:rPr>
        <w:br/>
        <w:t xml:space="preserve">Please explain what the possible conflict or perceived conflict of interest may be and who it relates to and how it could have an adverse effect on this </w:t>
      </w:r>
      <w:r w:rsidR="00254C02" w:rsidRPr="003E1B54">
        <w:rPr>
          <w:rFonts w:cs="Arial"/>
        </w:rPr>
        <w:t>C</w:t>
      </w:r>
      <w:r w:rsidRPr="003E1B54">
        <w:rPr>
          <w:rFonts w:cs="Arial"/>
        </w:rPr>
        <w:t>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3E1B54" w:rsidRPr="003E1B54" w14:paraId="5ECEF2F6" w14:textId="77777777" w:rsidTr="006C79A0">
        <w:tc>
          <w:tcPr>
            <w:tcW w:w="9016" w:type="dxa"/>
          </w:tcPr>
          <w:p w14:paraId="36E5F1C2" w14:textId="77777777" w:rsidR="00EB2500" w:rsidRPr="003E1B54" w:rsidRDefault="00EB2500" w:rsidP="006C79A0">
            <w:pPr>
              <w:rPr>
                <w:rFonts w:cs="Arial"/>
              </w:rPr>
            </w:pPr>
          </w:p>
          <w:p w14:paraId="2E786888" w14:textId="77777777" w:rsidR="00EB2500" w:rsidRPr="003E1B54" w:rsidRDefault="00EB2500" w:rsidP="006C79A0">
            <w:pPr>
              <w:rPr>
                <w:rFonts w:cs="Arial"/>
              </w:rPr>
            </w:pPr>
          </w:p>
          <w:p w14:paraId="5C4F0711" w14:textId="77777777" w:rsidR="00EB2500" w:rsidRPr="003E1B54" w:rsidRDefault="00EB2500" w:rsidP="006C79A0">
            <w:pPr>
              <w:rPr>
                <w:rFonts w:cs="Arial"/>
              </w:rPr>
            </w:pPr>
          </w:p>
        </w:tc>
      </w:tr>
    </w:tbl>
    <w:p w14:paraId="444BB4C3" w14:textId="1FB9F3DA" w:rsidR="00EB2500" w:rsidRPr="003E1B54" w:rsidRDefault="00EB2500" w:rsidP="00EB2500">
      <w:pPr>
        <w:rPr>
          <w:rFonts w:ascii="Calibri" w:hAnsi="Calibri" w:cs="Calibri"/>
        </w:rPr>
      </w:pPr>
      <w:r w:rsidRPr="003E1B54">
        <w:rPr>
          <w:rFonts w:ascii="Calibri" w:hAnsi="Calibri" w:cs="Calibri"/>
        </w:rPr>
        <w:t xml:space="preserve">In completing this section, the </w:t>
      </w:r>
      <w:r w:rsidR="00254C02" w:rsidRPr="003E1B54">
        <w:rPr>
          <w:rFonts w:ascii="Calibri" w:hAnsi="Calibri" w:cs="Calibri"/>
        </w:rPr>
        <w:t>Tenderer</w:t>
      </w:r>
      <w:r w:rsidRPr="003E1B54">
        <w:rPr>
          <w:rFonts w:ascii="Calibri" w:hAnsi="Calibri" w:cs="Calibri"/>
        </w:rPr>
        <w:t xml:space="preserve"> accepts that any perceived or actual conflict may result in the exclusion of their bid at the sole discretion of OAT.</w:t>
      </w:r>
    </w:p>
    <w:p w14:paraId="27627E2C" w14:textId="77777777" w:rsidR="00EB2500" w:rsidRPr="003E1B54" w:rsidRDefault="00EB2500" w:rsidP="00EB2500">
      <w:pPr>
        <w:rPr>
          <w:rFonts w:cs="Arial"/>
          <w:u w:val="single"/>
        </w:rPr>
      </w:pPr>
      <w:r w:rsidRPr="003E1B54">
        <w:rPr>
          <w:rFonts w:cs="Arial"/>
        </w:rPr>
        <w:t>Name:</w:t>
      </w:r>
      <w:r w:rsidRPr="003E1B54">
        <w:rPr>
          <w:rFonts w:cs="Arial"/>
        </w:rPr>
        <w:tab/>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088F35F4" w14:textId="77777777" w:rsidR="00EB2500" w:rsidRPr="003E1B54" w:rsidRDefault="00EB2500" w:rsidP="00EB2500">
      <w:pPr>
        <w:rPr>
          <w:rFonts w:cs="Arial"/>
          <w:u w:val="single"/>
        </w:rPr>
      </w:pPr>
      <w:r w:rsidRPr="003E1B54">
        <w:rPr>
          <w:rFonts w:cs="Arial"/>
        </w:rPr>
        <w:t>Position/Status:</w:t>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79158E8E" w14:textId="77777777" w:rsidR="00EB2500" w:rsidRPr="003E1B54" w:rsidRDefault="00EB2500" w:rsidP="00EB2500">
      <w:pPr>
        <w:rPr>
          <w:rFonts w:cs="Arial"/>
          <w:u w:val="single"/>
        </w:rPr>
      </w:pPr>
      <w:r w:rsidRPr="003E1B54">
        <w:rPr>
          <w:rFonts w:cs="Arial"/>
        </w:rPr>
        <w:t>Company Name:</w:t>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p>
    <w:p w14:paraId="4B0AD146" w14:textId="77777777" w:rsidR="00EB2500" w:rsidRPr="003E1B54" w:rsidRDefault="00EB2500" w:rsidP="00EB2500">
      <w:pPr>
        <w:rPr>
          <w:rFonts w:eastAsia="SimSun" w:cs="Arial"/>
          <w:lang w:eastAsia="zh-CN"/>
        </w:rPr>
      </w:pPr>
      <w:r w:rsidRPr="003E1B54">
        <w:rPr>
          <w:rFonts w:cs="Arial"/>
        </w:rPr>
        <w:t>Date:</w:t>
      </w:r>
      <w:r w:rsidRPr="003E1B54">
        <w:rPr>
          <w:rFonts w:cs="Arial"/>
        </w:rPr>
        <w:tab/>
      </w:r>
      <w:r w:rsidRPr="003E1B54">
        <w:rPr>
          <w:rFonts w:cs="Arial"/>
        </w:rPr>
        <w:tab/>
      </w:r>
      <w:r w:rsidRPr="003E1B54">
        <w:rPr>
          <w:rFonts w:cs="Arial"/>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r w:rsidRPr="003E1B54">
        <w:rPr>
          <w:rFonts w:cs="Arial"/>
          <w:u w:val="single"/>
        </w:rPr>
        <w:tab/>
      </w:r>
      <w:bookmarkEnd w:id="1"/>
    </w:p>
    <w:sectPr w:rsidR="00EB2500" w:rsidRPr="003E1B54" w:rsidSect="00CA1A98">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CEDC1" w14:textId="77777777" w:rsidR="00AA1C3E" w:rsidRDefault="00AA1C3E">
      <w:pPr>
        <w:spacing w:after="0"/>
      </w:pPr>
      <w:r>
        <w:separator/>
      </w:r>
    </w:p>
  </w:endnote>
  <w:endnote w:type="continuationSeparator" w:id="0">
    <w:p w14:paraId="1CBBEC44" w14:textId="77777777" w:rsidR="00AA1C3E" w:rsidRDefault="00AA1C3E">
      <w:pPr>
        <w:spacing w:after="0"/>
      </w:pPr>
      <w:r>
        <w:continuationSeparator/>
      </w:r>
    </w:p>
  </w:endnote>
  <w:endnote w:type="continuationNotice" w:id="1">
    <w:p w14:paraId="3DEA1DFF" w14:textId="77777777" w:rsidR="00AA1C3E" w:rsidRDefault="00AA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2" w:usb2="00000000" w:usb3="00000000" w:csb0="0000009F" w:csb1="00000000"/>
  </w:font>
  <w:font w:name="Aptos">
    <w:charset w:val="00"/>
    <w:family w:val="swiss"/>
    <w:pitch w:val="variable"/>
    <w:sig w:usb0="20000287" w:usb1="00000003" w:usb2="00000000" w:usb3="00000000" w:csb0="0000019F" w:csb1="00000000"/>
  </w:font>
  <w:font w:name="Gill Sans">
    <w:charset w:val="B1"/>
    <w:family w:val="swiss"/>
    <w:pitch w:val="variable"/>
    <w:sig w:usb0="80000A67" w:usb1="00000000" w:usb2="00000000" w:usb3="00000000" w:csb0="000001F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F435" w14:textId="77777777" w:rsidR="00AF2805" w:rsidRDefault="00DA147D">
    <w:pPr>
      <w:jc w:val="center"/>
    </w:pPr>
    <w:r>
      <w:fldChar w:fldCharType="begin"/>
    </w:r>
    <w:r>
      <w:instrText>PAGE</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B2260" w14:textId="77777777" w:rsidR="00AA1C3E" w:rsidRDefault="00AA1C3E">
      <w:pPr>
        <w:spacing w:after="0"/>
      </w:pPr>
      <w:r>
        <w:separator/>
      </w:r>
    </w:p>
  </w:footnote>
  <w:footnote w:type="continuationSeparator" w:id="0">
    <w:p w14:paraId="547DAA82" w14:textId="77777777" w:rsidR="00AA1C3E" w:rsidRDefault="00AA1C3E">
      <w:pPr>
        <w:spacing w:after="0"/>
      </w:pPr>
      <w:r>
        <w:continuationSeparator/>
      </w:r>
    </w:p>
  </w:footnote>
  <w:footnote w:type="continuationNotice" w:id="1">
    <w:p w14:paraId="351A3E8A" w14:textId="77777777" w:rsidR="00AA1C3E" w:rsidRDefault="00AA1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117E5170"/>
    <w:name w:val="Office Level Numbering"/>
    <w:lvl w:ilvl="0">
      <w:start w:val="1"/>
      <w:numFmt w:val="decimal"/>
      <w:lvlText w:val="%1"/>
      <w:lvlJc w:val="left"/>
      <w:pPr>
        <w:tabs>
          <w:tab w:val="num" w:pos="720"/>
        </w:tabs>
        <w:ind w:left="720" w:hanging="720"/>
      </w:pPr>
      <w:rPr>
        <w:rFonts w:ascii="Arial" w:hAnsi="Arial" w:cs="Arial" w:hint="default"/>
        <w:b/>
        <w:sz w:val="24"/>
      </w:rPr>
    </w:lvl>
    <w:lvl w:ilvl="1">
      <w:start w:val="1"/>
      <w:numFmt w:val="decimal"/>
      <w:lvlText w:val="%1.%2"/>
      <w:lvlJc w:val="left"/>
      <w:pPr>
        <w:tabs>
          <w:tab w:val="num" w:pos="1440"/>
        </w:tabs>
        <w:ind w:left="1440" w:hanging="720"/>
      </w:pPr>
      <w:rPr>
        <w:rFonts w:ascii="Arial" w:hAnsi="Arial" w:cs="Arial" w:hint="default"/>
        <w:b w:val="0"/>
        <w:sz w:val="20"/>
      </w:rPr>
    </w:lvl>
    <w:lvl w:ilvl="2">
      <w:start w:val="1"/>
      <w:numFmt w:val="decimal"/>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3600"/>
        </w:tabs>
        <w:ind w:left="360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2814D04"/>
    <w:multiLevelType w:val="multilevel"/>
    <w:tmpl w:val="E6D621B4"/>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7575CE"/>
    <w:multiLevelType w:val="multilevel"/>
    <w:tmpl w:val="626A109C"/>
    <w:name w:val="List Bullet"/>
    <w:lvl w:ilvl="0">
      <w:start w:val="1"/>
      <w:numFmt w:val="bullet"/>
      <w:lvlText w:val="·"/>
      <w:lvlJc w:val="left"/>
      <w:pPr>
        <w:tabs>
          <w:tab w:val="num" w:pos="720"/>
        </w:tabs>
        <w:ind w:left="720" w:hanging="720"/>
      </w:pPr>
      <w:rPr>
        <w:rFonts w:ascii="Symbol" w:hAnsi="Symbol" w:hint="default"/>
        <w:b w:val="0"/>
        <w:i w:val="0"/>
        <w:caps w:val="0"/>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7253412"/>
    <w:multiLevelType w:val="hybridMultilevel"/>
    <w:tmpl w:val="960CC850"/>
    <w:lvl w:ilvl="0" w:tplc="F998FA34">
      <w:start w:val="1"/>
      <w:numFmt w:val="bullet"/>
      <w:lvlText w:val=""/>
      <w:lvlJc w:val="left"/>
      <w:pPr>
        <w:ind w:left="1440" w:hanging="360"/>
      </w:pPr>
      <w:rPr>
        <w:rFonts w:ascii="Symbol" w:hAnsi="Symbol" w:hint="default"/>
        <w:color w:val="000000"/>
      </w:rPr>
    </w:lvl>
    <w:lvl w:ilvl="1" w:tplc="41CE08EA" w:tentative="1">
      <w:start w:val="1"/>
      <w:numFmt w:val="bullet"/>
      <w:lvlText w:val="o"/>
      <w:lvlJc w:val="left"/>
      <w:pPr>
        <w:ind w:left="2160" w:hanging="360"/>
      </w:pPr>
      <w:rPr>
        <w:rFonts w:ascii="Courier New" w:hAnsi="Courier New" w:cs="Courier New" w:hint="default"/>
      </w:rPr>
    </w:lvl>
    <w:lvl w:ilvl="2" w:tplc="734EEC8E" w:tentative="1">
      <w:start w:val="1"/>
      <w:numFmt w:val="bullet"/>
      <w:lvlText w:val=""/>
      <w:lvlJc w:val="left"/>
      <w:pPr>
        <w:ind w:left="2880" w:hanging="360"/>
      </w:pPr>
      <w:rPr>
        <w:rFonts w:ascii="Wingdings" w:hAnsi="Wingdings" w:hint="default"/>
      </w:rPr>
    </w:lvl>
    <w:lvl w:ilvl="3" w:tplc="C7FA4BFC" w:tentative="1">
      <w:start w:val="1"/>
      <w:numFmt w:val="bullet"/>
      <w:lvlText w:val=""/>
      <w:lvlJc w:val="left"/>
      <w:pPr>
        <w:ind w:left="3600" w:hanging="360"/>
      </w:pPr>
      <w:rPr>
        <w:rFonts w:ascii="Symbol" w:hAnsi="Symbol" w:hint="default"/>
      </w:rPr>
    </w:lvl>
    <w:lvl w:ilvl="4" w:tplc="759C66EE" w:tentative="1">
      <w:start w:val="1"/>
      <w:numFmt w:val="bullet"/>
      <w:lvlText w:val="o"/>
      <w:lvlJc w:val="left"/>
      <w:pPr>
        <w:ind w:left="4320" w:hanging="360"/>
      </w:pPr>
      <w:rPr>
        <w:rFonts w:ascii="Courier New" w:hAnsi="Courier New" w:cs="Courier New" w:hint="default"/>
      </w:rPr>
    </w:lvl>
    <w:lvl w:ilvl="5" w:tplc="3C7CB01C" w:tentative="1">
      <w:start w:val="1"/>
      <w:numFmt w:val="bullet"/>
      <w:lvlText w:val=""/>
      <w:lvlJc w:val="left"/>
      <w:pPr>
        <w:ind w:left="5040" w:hanging="360"/>
      </w:pPr>
      <w:rPr>
        <w:rFonts w:ascii="Wingdings" w:hAnsi="Wingdings" w:hint="default"/>
      </w:rPr>
    </w:lvl>
    <w:lvl w:ilvl="6" w:tplc="99668E58" w:tentative="1">
      <w:start w:val="1"/>
      <w:numFmt w:val="bullet"/>
      <w:lvlText w:val=""/>
      <w:lvlJc w:val="left"/>
      <w:pPr>
        <w:ind w:left="5760" w:hanging="360"/>
      </w:pPr>
      <w:rPr>
        <w:rFonts w:ascii="Symbol" w:hAnsi="Symbol" w:hint="default"/>
      </w:rPr>
    </w:lvl>
    <w:lvl w:ilvl="7" w:tplc="298084FC" w:tentative="1">
      <w:start w:val="1"/>
      <w:numFmt w:val="bullet"/>
      <w:lvlText w:val="o"/>
      <w:lvlJc w:val="left"/>
      <w:pPr>
        <w:ind w:left="6480" w:hanging="360"/>
      </w:pPr>
      <w:rPr>
        <w:rFonts w:ascii="Courier New" w:hAnsi="Courier New" w:cs="Courier New" w:hint="default"/>
      </w:rPr>
    </w:lvl>
    <w:lvl w:ilvl="8" w:tplc="3988A212" w:tentative="1">
      <w:start w:val="1"/>
      <w:numFmt w:val="bullet"/>
      <w:lvlText w:val=""/>
      <w:lvlJc w:val="left"/>
      <w:pPr>
        <w:ind w:left="7200" w:hanging="360"/>
      </w:pPr>
      <w:rPr>
        <w:rFonts w:ascii="Wingdings" w:hAnsi="Wingdings" w:hint="default"/>
      </w:rPr>
    </w:lvl>
  </w:abstractNum>
  <w:abstractNum w:abstractNumId="4" w15:restartNumberingAfterBreak="0">
    <w:nsid w:val="11825EA9"/>
    <w:multiLevelType w:val="multilevel"/>
    <w:tmpl w:val="B5EA651E"/>
    <w:lvl w:ilvl="0">
      <w:start w:val="1"/>
      <w:numFmt w:val="decimal"/>
      <w:lvlText w:val="Schedule %1"/>
      <w:lvlJc w:val="left"/>
      <w:pPr>
        <w:ind w:left="360" w:hanging="360"/>
      </w:pPr>
      <w:rPr>
        <w:rFonts w:hint="default"/>
        <w:color w:val="000000"/>
      </w:rPr>
    </w:lvl>
    <w:lvl w:ilvl="1">
      <w:start w:val="1"/>
      <w:numFmt w:val="decimal"/>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720"/>
        </w:tabs>
        <w:ind w:left="720" w:hanging="720"/>
      </w:pPr>
      <w:rPr>
        <w:rFonts w:hint="default"/>
      </w:rPr>
    </w:lvl>
    <w:lvl w:ilvl="4">
      <w:start w:val="1"/>
      <w:numFmt w:val="lowerLetter"/>
      <w:lvlText w:val="(%5)"/>
      <w:lvlJc w:val="left"/>
      <w:pPr>
        <w:tabs>
          <w:tab w:val="num" w:pos="1555"/>
        </w:tabs>
        <w:ind w:left="1555" w:hanging="561"/>
      </w:pPr>
      <w:rPr>
        <w:rFonts w:hint="default"/>
      </w:rPr>
    </w:lvl>
    <w:lvl w:ilvl="5">
      <w:start w:val="1"/>
      <w:numFmt w:val="lowerRoman"/>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B783D"/>
    <w:multiLevelType w:val="hybridMultilevel"/>
    <w:tmpl w:val="521C96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55250C"/>
    <w:multiLevelType w:val="multilevel"/>
    <w:tmpl w:val="1ECCDF9C"/>
    <w:name w:val="Tenders"/>
    <w:lvl w:ilvl="0">
      <w:start w:val="1"/>
      <w:numFmt w:val="decimal"/>
      <w:lvlText w:val="%1"/>
      <w:lvlJc w:val="left"/>
      <w:pPr>
        <w:tabs>
          <w:tab w:val="num" w:pos="720"/>
        </w:tabs>
        <w:ind w:left="720" w:hanging="720"/>
      </w:pPr>
      <w:rPr>
        <w:rFonts w:ascii="Calibri" w:hAnsi="Calibri" w:hint="default"/>
        <w:b/>
        <w:sz w:val="28"/>
      </w:rPr>
    </w:lvl>
    <w:lvl w:ilvl="1">
      <w:start w:val="1"/>
      <w:numFmt w:val="decimal"/>
      <w:lvlText w:val="%1.%2"/>
      <w:lvlJc w:val="left"/>
      <w:pPr>
        <w:tabs>
          <w:tab w:val="num" w:pos="720"/>
        </w:tabs>
        <w:ind w:left="720" w:hanging="720"/>
      </w:pPr>
      <w:rPr>
        <w:rFonts w:ascii="Calibri" w:hAnsi="Calibri" w:hint="default"/>
        <w:b w:val="0"/>
        <w:sz w:val="22"/>
      </w:rPr>
    </w:lvl>
    <w:lvl w:ilvl="2">
      <w:start w:val="1"/>
      <w:numFmt w:val="decimal"/>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15:restartNumberingAfterBreak="0">
    <w:nsid w:val="14C03CA0"/>
    <w:multiLevelType w:val="hybridMultilevel"/>
    <w:tmpl w:val="4A2E4F8C"/>
    <w:name w:val="Table Bullet"/>
    <w:lvl w:ilvl="0" w:tplc="DA92AB40">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B2D56"/>
    <w:multiLevelType w:val="hybridMultilevel"/>
    <w:tmpl w:val="D98A143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17D632C7"/>
    <w:multiLevelType w:val="hybridMultilevel"/>
    <w:tmpl w:val="F5C298EE"/>
    <w:name w:val="Table Bullet 2"/>
    <w:lvl w:ilvl="0" w:tplc="89FC01F2">
      <w:start w:val="1"/>
      <w:numFmt w:val="bullet"/>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32700"/>
    <w:multiLevelType w:val="hybridMultilevel"/>
    <w:tmpl w:val="A712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904574"/>
    <w:multiLevelType w:val="multilevel"/>
    <w:tmpl w:val="9E20B66C"/>
    <w:name w:val="Tender_Bullet"/>
    <w:lvl w:ilvl="0">
      <w:start w:val="1"/>
      <w:numFmt w:val="bullet"/>
      <w:lvlText w:val="·"/>
      <w:lvlJc w:val="left"/>
      <w:pPr>
        <w:tabs>
          <w:tab w:val="num" w:pos="720"/>
        </w:tabs>
        <w:ind w:left="720" w:hanging="720"/>
      </w:pPr>
      <w:rPr>
        <w:rFonts w:ascii="Symbol" w:hAnsi="Symbol" w:hint="default"/>
        <w:b w:val="0"/>
        <w:color w:val="E31B23"/>
        <w:sz w:val="22"/>
      </w:rPr>
    </w:lvl>
    <w:lvl w:ilvl="1">
      <w:start w:val="1"/>
      <w:numFmt w:val="bullet"/>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B500CAE"/>
    <w:multiLevelType w:val="hybridMultilevel"/>
    <w:tmpl w:val="2D625D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E82F3A"/>
    <w:multiLevelType w:val="hybridMultilevel"/>
    <w:tmpl w:val="1DF80854"/>
    <w:lvl w:ilvl="0" w:tplc="1C6830BE">
      <w:start w:val="1"/>
      <w:numFmt w:val="decimal"/>
      <w:lvlText w:val="Schedule"/>
      <w:lvlJc w:val="left"/>
      <w:pPr>
        <w:tabs>
          <w:tab w:val="num" w:pos="720"/>
        </w:tabs>
        <w:ind w:left="720" w:hanging="720"/>
      </w:pPr>
      <w:rPr>
        <w:color w:val="000000"/>
      </w:rPr>
    </w:lvl>
    <w:lvl w:ilvl="1" w:tplc="5A1AE9B6" w:tentative="1">
      <w:start w:val="1"/>
      <w:numFmt w:val="lowerLetter"/>
      <w:lvlText w:val="%2."/>
      <w:lvlJc w:val="left"/>
      <w:pPr>
        <w:tabs>
          <w:tab w:val="num" w:pos="1440"/>
        </w:tabs>
        <w:ind w:left="1440" w:hanging="360"/>
      </w:pPr>
    </w:lvl>
    <w:lvl w:ilvl="2" w:tplc="8FBA7EB8" w:tentative="1">
      <w:start w:val="1"/>
      <w:numFmt w:val="lowerRoman"/>
      <w:lvlText w:val="%3."/>
      <w:lvlJc w:val="right"/>
      <w:pPr>
        <w:tabs>
          <w:tab w:val="num" w:pos="2160"/>
        </w:tabs>
        <w:ind w:left="2160" w:hanging="180"/>
      </w:pPr>
    </w:lvl>
    <w:lvl w:ilvl="3" w:tplc="B5981AB2" w:tentative="1">
      <w:start w:val="1"/>
      <w:numFmt w:val="decimal"/>
      <w:lvlText w:val="%4."/>
      <w:lvlJc w:val="left"/>
      <w:pPr>
        <w:tabs>
          <w:tab w:val="num" w:pos="2880"/>
        </w:tabs>
        <w:ind w:left="2880" w:hanging="360"/>
      </w:pPr>
    </w:lvl>
    <w:lvl w:ilvl="4" w:tplc="9AA64B50" w:tentative="1">
      <w:start w:val="1"/>
      <w:numFmt w:val="lowerLetter"/>
      <w:lvlText w:val="%5."/>
      <w:lvlJc w:val="left"/>
      <w:pPr>
        <w:tabs>
          <w:tab w:val="num" w:pos="3600"/>
        </w:tabs>
        <w:ind w:left="3600" w:hanging="360"/>
      </w:pPr>
    </w:lvl>
    <w:lvl w:ilvl="5" w:tplc="A838D9E6" w:tentative="1">
      <w:start w:val="1"/>
      <w:numFmt w:val="lowerRoman"/>
      <w:lvlText w:val="%6."/>
      <w:lvlJc w:val="right"/>
      <w:pPr>
        <w:tabs>
          <w:tab w:val="num" w:pos="4320"/>
        </w:tabs>
        <w:ind w:left="4320" w:hanging="180"/>
      </w:pPr>
    </w:lvl>
    <w:lvl w:ilvl="6" w:tplc="FBC42604" w:tentative="1">
      <w:start w:val="1"/>
      <w:numFmt w:val="decimal"/>
      <w:lvlText w:val="%7."/>
      <w:lvlJc w:val="left"/>
      <w:pPr>
        <w:tabs>
          <w:tab w:val="num" w:pos="5040"/>
        </w:tabs>
        <w:ind w:left="5040" w:hanging="360"/>
      </w:pPr>
    </w:lvl>
    <w:lvl w:ilvl="7" w:tplc="A9E6774E" w:tentative="1">
      <w:start w:val="1"/>
      <w:numFmt w:val="lowerLetter"/>
      <w:lvlText w:val="%8."/>
      <w:lvlJc w:val="left"/>
      <w:pPr>
        <w:tabs>
          <w:tab w:val="num" w:pos="5760"/>
        </w:tabs>
        <w:ind w:left="5760" w:hanging="360"/>
      </w:pPr>
    </w:lvl>
    <w:lvl w:ilvl="8" w:tplc="5CFA37AC" w:tentative="1">
      <w:start w:val="1"/>
      <w:numFmt w:val="lowerRoman"/>
      <w:lvlText w:val="%9."/>
      <w:lvlJc w:val="right"/>
      <w:pPr>
        <w:tabs>
          <w:tab w:val="num" w:pos="6480"/>
        </w:tabs>
        <w:ind w:left="6480" w:hanging="180"/>
      </w:pPr>
    </w:lvl>
  </w:abstractNum>
  <w:abstractNum w:abstractNumId="14" w15:restartNumberingAfterBreak="0">
    <w:nsid w:val="22A36E4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25B00E4C"/>
    <w:multiLevelType w:val="hybridMultilevel"/>
    <w:tmpl w:val="97C4AA26"/>
    <w:lvl w:ilvl="0" w:tplc="F048AF82">
      <w:start w:val="1"/>
      <w:numFmt w:val="upperLetter"/>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CF485B8" w:tentative="1">
      <w:start w:val="1"/>
      <w:numFmt w:val="lowerLetter"/>
      <w:lvlText w:val="%2."/>
      <w:lvlJc w:val="left"/>
      <w:pPr>
        <w:ind w:left="1440" w:hanging="360"/>
      </w:pPr>
    </w:lvl>
    <w:lvl w:ilvl="2" w:tplc="6C8E0064" w:tentative="1">
      <w:start w:val="1"/>
      <w:numFmt w:val="lowerRoman"/>
      <w:lvlText w:val="%3."/>
      <w:lvlJc w:val="right"/>
      <w:pPr>
        <w:ind w:left="2160" w:hanging="180"/>
      </w:pPr>
    </w:lvl>
    <w:lvl w:ilvl="3" w:tplc="604A88EE" w:tentative="1">
      <w:start w:val="1"/>
      <w:numFmt w:val="decimal"/>
      <w:lvlText w:val="%4."/>
      <w:lvlJc w:val="left"/>
      <w:pPr>
        <w:ind w:left="2880" w:hanging="360"/>
      </w:pPr>
    </w:lvl>
    <w:lvl w:ilvl="4" w:tplc="9196C9F2" w:tentative="1">
      <w:start w:val="1"/>
      <w:numFmt w:val="lowerLetter"/>
      <w:lvlText w:val="%5."/>
      <w:lvlJc w:val="left"/>
      <w:pPr>
        <w:ind w:left="3600" w:hanging="360"/>
      </w:pPr>
    </w:lvl>
    <w:lvl w:ilvl="5" w:tplc="CF5800C6" w:tentative="1">
      <w:start w:val="1"/>
      <w:numFmt w:val="lowerRoman"/>
      <w:lvlText w:val="%6."/>
      <w:lvlJc w:val="right"/>
      <w:pPr>
        <w:ind w:left="4320" w:hanging="180"/>
      </w:pPr>
    </w:lvl>
    <w:lvl w:ilvl="6" w:tplc="E966A75A" w:tentative="1">
      <w:start w:val="1"/>
      <w:numFmt w:val="decimal"/>
      <w:lvlText w:val="%7."/>
      <w:lvlJc w:val="left"/>
      <w:pPr>
        <w:ind w:left="5040" w:hanging="360"/>
      </w:pPr>
    </w:lvl>
    <w:lvl w:ilvl="7" w:tplc="C15C9C40" w:tentative="1">
      <w:start w:val="1"/>
      <w:numFmt w:val="lowerLetter"/>
      <w:lvlText w:val="%8."/>
      <w:lvlJc w:val="left"/>
      <w:pPr>
        <w:ind w:left="5760" w:hanging="360"/>
      </w:pPr>
    </w:lvl>
    <w:lvl w:ilvl="8" w:tplc="AB9E409C" w:tentative="1">
      <w:start w:val="1"/>
      <w:numFmt w:val="lowerRoman"/>
      <w:lvlText w:val="%9."/>
      <w:lvlJc w:val="right"/>
      <w:pPr>
        <w:ind w:left="6480" w:hanging="180"/>
      </w:pPr>
    </w:lvl>
  </w:abstractNum>
  <w:abstractNum w:abstractNumId="16" w15:restartNumberingAfterBreak="0">
    <w:nsid w:val="29C94F29"/>
    <w:multiLevelType w:val="hybridMultilevel"/>
    <w:tmpl w:val="4CBC2A34"/>
    <w:lvl w:ilvl="0" w:tplc="FD960D80">
      <w:start w:val="1"/>
      <w:numFmt w:val="decimal"/>
      <w:lvlText w:val="%1."/>
      <w:lvlJc w:val="left"/>
      <w:pPr>
        <w:ind w:left="720" w:hanging="360"/>
      </w:pPr>
      <w:rPr>
        <w:color w:val="000000"/>
      </w:rPr>
    </w:lvl>
    <w:lvl w:ilvl="1" w:tplc="6E54ED42" w:tentative="1">
      <w:start w:val="1"/>
      <w:numFmt w:val="lowerLetter"/>
      <w:lvlText w:val="%2."/>
      <w:lvlJc w:val="left"/>
      <w:pPr>
        <w:ind w:left="1440" w:hanging="360"/>
      </w:pPr>
    </w:lvl>
    <w:lvl w:ilvl="2" w:tplc="A1DA98DE" w:tentative="1">
      <w:start w:val="1"/>
      <w:numFmt w:val="lowerRoman"/>
      <w:lvlText w:val="%3."/>
      <w:lvlJc w:val="right"/>
      <w:pPr>
        <w:ind w:left="2160" w:hanging="180"/>
      </w:pPr>
    </w:lvl>
    <w:lvl w:ilvl="3" w:tplc="E53839F6" w:tentative="1">
      <w:start w:val="1"/>
      <w:numFmt w:val="decimal"/>
      <w:lvlText w:val="%4."/>
      <w:lvlJc w:val="left"/>
      <w:pPr>
        <w:ind w:left="2880" w:hanging="360"/>
      </w:pPr>
    </w:lvl>
    <w:lvl w:ilvl="4" w:tplc="F45865D8" w:tentative="1">
      <w:start w:val="1"/>
      <w:numFmt w:val="lowerLetter"/>
      <w:lvlText w:val="%5."/>
      <w:lvlJc w:val="left"/>
      <w:pPr>
        <w:ind w:left="3600" w:hanging="360"/>
      </w:pPr>
    </w:lvl>
    <w:lvl w:ilvl="5" w:tplc="ADCAD14A" w:tentative="1">
      <w:start w:val="1"/>
      <w:numFmt w:val="lowerRoman"/>
      <w:lvlText w:val="%6."/>
      <w:lvlJc w:val="right"/>
      <w:pPr>
        <w:ind w:left="4320" w:hanging="180"/>
      </w:pPr>
    </w:lvl>
    <w:lvl w:ilvl="6" w:tplc="AF2E138E" w:tentative="1">
      <w:start w:val="1"/>
      <w:numFmt w:val="decimal"/>
      <w:lvlText w:val="%7."/>
      <w:lvlJc w:val="left"/>
      <w:pPr>
        <w:ind w:left="5040" w:hanging="360"/>
      </w:pPr>
    </w:lvl>
    <w:lvl w:ilvl="7" w:tplc="AB22CE94" w:tentative="1">
      <w:start w:val="1"/>
      <w:numFmt w:val="lowerLetter"/>
      <w:lvlText w:val="%8."/>
      <w:lvlJc w:val="left"/>
      <w:pPr>
        <w:ind w:left="5760" w:hanging="360"/>
      </w:pPr>
    </w:lvl>
    <w:lvl w:ilvl="8" w:tplc="906A9F9E" w:tentative="1">
      <w:start w:val="1"/>
      <w:numFmt w:val="lowerRoman"/>
      <w:lvlText w:val="%9."/>
      <w:lvlJc w:val="right"/>
      <w:pPr>
        <w:ind w:left="6480" w:hanging="180"/>
      </w:pPr>
    </w:lvl>
  </w:abstractNum>
  <w:abstractNum w:abstractNumId="17" w15:restartNumberingAfterBreak="0">
    <w:nsid w:val="2C7E0A60"/>
    <w:multiLevelType w:val="hybridMultilevel"/>
    <w:tmpl w:val="5108191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040C4"/>
    <w:multiLevelType w:val="multilevel"/>
    <w:tmpl w:val="AA3649DA"/>
    <w:name w:val="Independent_List"/>
    <w:lvl w:ilvl="0">
      <w:start w:val="1"/>
      <w:numFmt w:val="lowerLetter"/>
      <w:lvlText w:val="%1)"/>
      <w:lvlJc w:val="left"/>
      <w:pPr>
        <w:tabs>
          <w:tab w:val="num" w:pos="720"/>
        </w:tabs>
        <w:ind w:left="720" w:hanging="720"/>
      </w:pPr>
      <w:rPr>
        <w:rFonts w:ascii="Arial" w:hAnsi="Arial" w:cs="Arial" w:hint="default"/>
        <w:b w:val="0"/>
        <w:sz w:val="20"/>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9" w15:restartNumberingAfterBreak="0">
    <w:nsid w:val="2F824DB5"/>
    <w:multiLevelType w:val="hybridMultilevel"/>
    <w:tmpl w:val="A464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9860E2"/>
    <w:multiLevelType w:val="multilevel"/>
    <w:tmpl w:val="6B867B82"/>
    <w:name w:val="Table_number"/>
    <w:lvl w:ilvl="0">
      <w:start w:val="1"/>
      <w:numFmt w:val="decimal"/>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720"/>
        </w:tabs>
        <w:ind w:left="720" w:hanging="720"/>
      </w:pPr>
      <w:rPr>
        <w:rFonts w:ascii="Arial" w:hAnsi="Arial" w:cs="Arial" w:hint="default"/>
        <w:b w:val="0"/>
        <w:i w:val="0"/>
        <w:sz w:val="20"/>
        <w:szCs w:val="22"/>
      </w:rPr>
    </w:lvl>
    <w:lvl w:ilvl="3">
      <w:start w:val="1"/>
      <w:numFmt w:val="lowerLetter"/>
      <w:lvlText w:val="%4)"/>
      <w:lvlJc w:val="left"/>
      <w:pPr>
        <w:tabs>
          <w:tab w:val="num" w:pos="1440"/>
        </w:tabs>
        <w:ind w:left="1440" w:hanging="720"/>
      </w:pPr>
      <w:rPr>
        <w:rFonts w:ascii="Arial" w:hAnsi="Arial" w:cs="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21" w15:restartNumberingAfterBreak="0">
    <w:nsid w:val="310416CA"/>
    <w:multiLevelType w:val="hybridMultilevel"/>
    <w:tmpl w:val="072EDEC8"/>
    <w:lvl w:ilvl="0" w:tplc="3D926338">
      <w:start w:val="1"/>
      <w:numFmt w:val="bullet"/>
      <w:lvlText w:val=""/>
      <w:lvlJc w:val="left"/>
      <w:pPr>
        <w:ind w:left="2279" w:hanging="360"/>
      </w:pPr>
      <w:rPr>
        <w:rFonts w:ascii="Symbol" w:hAnsi="Symbol" w:hint="default"/>
        <w:color w:val="000000"/>
      </w:rPr>
    </w:lvl>
    <w:lvl w:ilvl="1" w:tplc="BBF8C70A" w:tentative="1">
      <w:start w:val="1"/>
      <w:numFmt w:val="bullet"/>
      <w:lvlText w:val="o"/>
      <w:lvlJc w:val="left"/>
      <w:pPr>
        <w:ind w:left="2999" w:hanging="360"/>
      </w:pPr>
      <w:rPr>
        <w:rFonts w:ascii="Courier New" w:hAnsi="Courier New" w:cs="Courier New" w:hint="default"/>
      </w:rPr>
    </w:lvl>
    <w:lvl w:ilvl="2" w:tplc="532877AC" w:tentative="1">
      <w:start w:val="1"/>
      <w:numFmt w:val="bullet"/>
      <w:lvlText w:val=""/>
      <w:lvlJc w:val="left"/>
      <w:pPr>
        <w:ind w:left="3719" w:hanging="360"/>
      </w:pPr>
      <w:rPr>
        <w:rFonts w:ascii="Wingdings" w:hAnsi="Wingdings" w:hint="default"/>
      </w:rPr>
    </w:lvl>
    <w:lvl w:ilvl="3" w:tplc="960E1B18" w:tentative="1">
      <w:start w:val="1"/>
      <w:numFmt w:val="bullet"/>
      <w:lvlText w:val=""/>
      <w:lvlJc w:val="left"/>
      <w:pPr>
        <w:ind w:left="4439" w:hanging="360"/>
      </w:pPr>
      <w:rPr>
        <w:rFonts w:ascii="Symbol" w:hAnsi="Symbol" w:hint="default"/>
      </w:rPr>
    </w:lvl>
    <w:lvl w:ilvl="4" w:tplc="BA94531E" w:tentative="1">
      <w:start w:val="1"/>
      <w:numFmt w:val="bullet"/>
      <w:lvlText w:val="o"/>
      <w:lvlJc w:val="left"/>
      <w:pPr>
        <w:ind w:left="5159" w:hanging="360"/>
      </w:pPr>
      <w:rPr>
        <w:rFonts w:ascii="Courier New" w:hAnsi="Courier New" w:cs="Courier New" w:hint="default"/>
      </w:rPr>
    </w:lvl>
    <w:lvl w:ilvl="5" w:tplc="32683454" w:tentative="1">
      <w:start w:val="1"/>
      <w:numFmt w:val="bullet"/>
      <w:lvlText w:val=""/>
      <w:lvlJc w:val="left"/>
      <w:pPr>
        <w:ind w:left="5879" w:hanging="360"/>
      </w:pPr>
      <w:rPr>
        <w:rFonts w:ascii="Wingdings" w:hAnsi="Wingdings" w:hint="default"/>
      </w:rPr>
    </w:lvl>
    <w:lvl w:ilvl="6" w:tplc="D3200ED6" w:tentative="1">
      <w:start w:val="1"/>
      <w:numFmt w:val="bullet"/>
      <w:lvlText w:val=""/>
      <w:lvlJc w:val="left"/>
      <w:pPr>
        <w:ind w:left="6599" w:hanging="360"/>
      </w:pPr>
      <w:rPr>
        <w:rFonts w:ascii="Symbol" w:hAnsi="Symbol" w:hint="default"/>
      </w:rPr>
    </w:lvl>
    <w:lvl w:ilvl="7" w:tplc="6518BE68" w:tentative="1">
      <w:start w:val="1"/>
      <w:numFmt w:val="bullet"/>
      <w:lvlText w:val="o"/>
      <w:lvlJc w:val="left"/>
      <w:pPr>
        <w:ind w:left="7319" w:hanging="360"/>
      </w:pPr>
      <w:rPr>
        <w:rFonts w:ascii="Courier New" w:hAnsi="Courier New" w:cs="Courier New" w:hint="default"/>
      </w:rPr>
    </w:lvl>
    <w:lvl w:ilvl="8" w:tplc="56B24B16" w:tentative="1">
      <w:start w:val="1"/>
      <w:numFmt w:val="bullet"/>
      <w:lvlText w:val=""/>
      <w:lvlJc w:val="left"/>
      <w:pPr>
        <w:ind w:left="8039" w:hanging="360"/>
      </w:pPr>
      <w:rPr>
        <w:rFonts w:ascii="Wingdings" w:hAnsi="Wingdings" w:hint="default"/>
      </w:rPr>
    </w:lvl>
  </w:abstractNum>
  <w:abstractNum w:abstractNumId="22" w15:restartNumberingAfterBreak="0">
    <w:nsid w:val="31FA7AF5"/>
    <w:multiLevelType w:val="hybridMultilevel"/>
    <w:tmpl w:val="9DCAE63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3702B8"/>
    <w:multiLevelType w:val="hybridMultilevel"/>
    <w:tmpl w:val="B3FEC47A"/>
    <w:lvl w:ilvl="0" w:tplc="6D98D464">
      <w:start w:val="1"/>
      <w:numFmt w:val="lowerLetter"/>
      <w:lvlText w:val="%1)"/>
      <w:lvlJc w:val="left"/>
      <w:pPr>
        <w:tabs>
          <w:tab w:val="num" w:pos="1440"/>
        </w:tabs>
        <w:ind w:left="1440" w:hanging="870"/>
      </w:pPr>
      <w:rPr>
        <w:rFonts w:cs="Times New Roman" w:hint="default"/>
      </w:rPr>
    </w:lvl>
    <w:lvl w:ilvl="1" w:tplc="F676CBCC">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CC668D"/>
    <w:multiLevelType w:val="hybridMultilevel"/>
    <w:tmpl w:val="594C4DAE"/>
    <w:lvl w:ilvl="0" w:tplc="DEA26CAA">
      <w:start w:val="1"/>
      <w:numFmt w:val="bullet"/>
      <w:lvlText w:val=""/>
      <w:lvlJc w:val="left"/>
      <w:pPr>
        <w:tabs>
          <w:tab w:val="num" w:pos="2676"/>
        </w:tabs>
        <w:ind w:left="2676" w:hanging="357"/>
      </w:pPr>
      <w:rPr>
        <w:rFonts w:ascii="Symbol" w:hAnsi="Symbol" w:hint="default"/>
        <w:color w:val="000000"/>
      </w:rPr>
    </w:lvl>
    <w:lvl w:ilvl="1" w:tplc="4EEC0FB4" w:tentative="1">
      <w:start w:val="1"/>
      <w:numFmt w:val="bullet"/>
      <w:lvlText w:val="o"/>
      <w:lvlJc w:val="left"/>
      <w:pPr>
        <w:tabs>
          <w:tab w:val="num" w:pos="1440"/>
        </w:tabs>
        <w:ind w:left="1440" w:hanging="360"/>
      </w:pPr>
      <w:rPr>
        <w:rFonts w:ascii="Courier New" w:hAnsi="Courier New" w:cs="Courier New" w:hint="default"/>
      </w:rPr>
    </w:lvl>
    <w:lvl w:ilvl="2" w:tplc="AD42472E" w:tentative="1">
      <w:start w:val="1"/>
      <w:numFmt w:val="bullet"/>
      <w:lvlText w:val=""/>
      <w:lvlJc w:val="left"/>
      <w:pPr>
        <w:tabs>
          <w:tab w:val="num" w:pos="2160"/>
        </w:tabs>
        <w:ind w:left="2160" w:hanging="360"/>
      </w:pPr>
      <w:rPr>
        <w:rFonts w:ascii="Wingdings" w:hAnsi="Wingdings" w:hint="default"/>
      </w:rPr>
    </w:lvl>
    <w:lvl w:ilvl="3" w:tplc="36501166" w:tentative="1">
      <w:start w:val="1"/>
      <w:numFmt w:val="bullet"/>
      <w:lvlText w:val=""/>
      <w:lvlJc w:val="left"/>
      <w:pPr>
        <w:tabs>
          <w:tab w:val="num" w:pos="2880"/>
        </w:tabs>
        <w:ind w:left="2880" w:hanging="360"/>
      </w:pPr>
      <w:rPr>
        <w:rFonts w:ascii="Symbol" w:hAnsi="Symbol" w:hint="default"/>
      </w:rPr>
    </w:lvl>
    <w:lvl w:ilvl="4" w:tplc="F9CA7F02" w:tentative="1">
      <w:start w:val="1"/>
      <w:numFmt w:val="bullet"/>
      <w:lvlText w:val="o"/>
      <w:lvlJc w:val="left"/>
      <w:pPr>
        <w:tabs>
          <w:tab w:val="num" w:pos="3600"/>
        </w:tabs>
        <w:ind w:left="3600" w:hanging="360"/>
      </w:pPr>
      <w:rPr>
        <w:rFonts w:ascii="Courier New" w:hAnsi="Courier New" w:cs="Courier New" w:hint="default"/>
      </w:rPr>
    </w:lvl>
    <w:lvl w:ilvl="5" w:tplc="1464A9AE" w:tentative="1">
      <w:start w:val="1"/>
      <w:numFmt w:val="bullet"/>
      <w:lvlText w:val=""/>
      <w:lvlJc w:val="left"/>
      <w:pPr>
        <w:tabs>
          <w:tab w:val="num" w:pos="4320"/>
        </w:tabs>
        <w:ind w:left="4320" w:hanging="360"/>
      </w:pPr>
      <w:rPr>
        <w:rFonts w:ascii="Wingdings" w:hAnsi="Wingdings" w:hint="default"/>
      </w:rPr>
    </w:lvl>
    <w:lvl w:ilvl="6" w:tplc="08644EC4" w:tentative="1">
      <w:start w:val="1"/>
      <w:numFmt w:val="bullet"/>
      <w:lvlText w:val=""/>
      <w:lvlJc w:val="left"/>
      <w:pPr>
        <w:tabs>
          <w:tab w:val="num" w:pos="5040"/>
        </w:tabs>
        <w:ind w:left="5040" w:hanging="360"/>
      </w:pPr>
      <w:rPr>
        <w:rFonts w:ascii="Symbol" w:hAnsi="Symbol" w:hint="default"/>
      </w:rPr>
    </w:lvl>
    <w:lvl w:ilvl="7" w:tplc="0E8ECD64" w:tentative="1">
      <w:start w:val="1"/>
      <w:numFmt w:val="bullet"/>
      <w:lvlText w:val="o"/>
      <w:lvlJc w:val="left"/>
      <w:pPr>
        <w:tabs>
          <w:tab w:val="num" w:pos="5760"/>
        </w:tabs>
        <w:ind w:left="5760" w:hanging="360"/>
      </w:pPr>
      <w:rPr>
        <w:rFonts w:ascii="Courier New" w:hAnsi="Courier New" w:cs="Courier New" w:hint="default"/>
      </w:rPr>
    </w:lvl>
    <w:lvl w:ilvl="8" w:tplc="01A6A13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66CA9"/>
    <w:multiLevelType w:val="hybridMultilevel"/>
    <w:tmpl w:val="46C081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5040CEC"/>
    <w:multiLevelType w:val="multilevel"/>
    <w:tmpl w:val="AC32934E"/>
    <w:name w:val="Schedules"/>
    <w:lvl w:ilvl="0">
      <w:start w:val="1"/>
      <w:numFmt w:val="decimal"/>
      <w:lvlText w:val="Schedule %1"/>
      <w:lvlJc w:val="left"/>
      <w:pPr>
        <w:tabs>
          <w:tab w:val="num" w:pos="720"/>
        </w:tabs>
        <w:ind w:left="720" w:hanging="720"/>
      </w:pPr>
      <w:rPr>
        <w:rFonts w:ascii="Arial" w:hAnsi="Arial" w:cs="Arial" w:hint="default"/>
        <w:b/>
        <w:caps w:val="0"/>
        <w:sz w:val="24"/>
        <w:szCs w:val="24"/>
      </w:rPr>
    </w:lvl>
    <w:lvl w:ilvl="1">
      <w:numFmt w:val="decimal"/>
      <w:lvlText w:val="Sub Schedule %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Part %3"/>
      <w:lvlJc w:val="left"/>
      <w:pPr>
        <w:tabs>
          <w:tab w:val="num" w:pos="720"/>
        </w:tabs>
        <w:ind w:left="720" w:hanging="720"/>
      </w:pPr>
      <w:rPr>
        <w:rFonts w:ascii="Calibri" w:hAnsi="Calibri" w:hint="default"/>
        <w:b/>
        <w:sz w:val="24"/>
      </w:rPr>
    </w:lvl>
    <w:lvl w:ilvl="3">
      <w:start w:val="1"/>
      <w:numFmt w:val="decimal"/>
      <w:lvlText w:val="%4"/>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1440"/>
        </w:tabs>
        <w:ind w:left="1440" w:hanging="720"/>
      </w:pPr>
      <w:rPr>
        <w:rFonts w:ascii="Arial" w:hAnsi="Arial" w:cs="Arial" w:hint="default"/>
        <w:b w:val="0"/>
        <w:i w:val="0"/>
        <w:sz w:val="20"/>
      </w:rPr>
    </w:lvl>
    <w:lvl w:ilvl="5">
      <w:start w:val="1"/>
      <w:numFmt w:val="lowerLetter"/>
      <w:lvlText w:val="(%6)"/>
      <w:lvlJc w:val="left"/>
      <w:pPr>
        <w:tabs>
          <w:tab w:val="num" w:pos="2160"/>
        </w:tabs>
        <w:ind w:left="2160" w:hanging="720"/>
      </w:pPr>
      <w:rPr>
        <w:rFonts w:ascii="Arial" w:hAnsi="Arial" w:cs="Arial" w:hint="default"/>
        <w:b w:val="0"/>
        <w:i w:val="0"/>
        <w:sz w:val="20"/>
      </w:rPr>
    </w:lvl>
    <w:lvl w:ilvl="6">
      <w:start w:val="1"/>
      <w:numFmt w:val="lowerRoman"/>
      <w:lvlText w:val="(%7)"/>
      <w:lvlJc w:val="left"/>
      <w:pPr>
        <w:tabs>
          <w:tab w:val="num" w:pos="2880"/>
        </w:tabs>
        <w:ind w:left="2880" w:hanging="720"/>
      </w:pPr>
      <w:rPr>
        <w:rFonts w:ascii="Arial" w:hAnsi="Arial" w:cs="Arial" w:hint="default"/>
        <w:b w:val="0"/>
        <w:i w:val="0"/>
        <w:sz w:val="20"/>
      </w:rPr>
    </w:lvl>
    <w:lvl w:ilvl="7">
      <w:start w:val="1"/>
      <w:numFmt w:val="upperLetter"/>
      <w:lvlText w:val="(%8)"/>
      <w:lvlJc w:val="left"/>
      <w:pPr>
        <w:tabs>
          <w:tab w:val="num" w:pos="3600"/>
        </w:tabs>
        <w:ind w:left="3600" w:hanging="720"/>
      </w:pPr>
      <w:rPr>
        <w:rFonts w:ascii="Arial" w:hAnsi="Arial" w:cs="Arial" w:hint="default"/>
        <w:b w:val="0"/>
        <w:i w:val="0"/>
        <w:sz w:val="20"/>
      </w:rPr>
    </w:lvl>
    <w:lvl w:ilvl="8">
      <w:start w:val="1"/>
      <w:numFmt w:val="decimal"/>
      <w:lvlText w:val="(%9)"/>
      <w:lvlJc w:val="left"/>
      <w:pPr>
        <w:tabs>
          <w:tab w:val="num" w:pos="4320"/>
        </w:tabs>
        <w:ind w:left="4320" w:hanging="720"/>
      </w:pPr>
      <w:rPr>
        <w:rFonts w:ascii="Arial" w:hAnsi="Arial" w:cs="Arial" w:hint="default"/>
        <w:b w:val="0"/>
        <w:i w:val="0"/>
        <w:sz w:val="20"/>
      </w:rPr>
    </w:lvl>
  </w:abstractNum>
  <w:abstractNum w:abstractNumId="28"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color w:val="000000"/>
      </w:rPr>
    </w:lvl>
  </w:abstractNum>
  <w:abstractNum w:abstractNumId="29" w15:restartNumberingAfterBreak="0">
    <w:nsid w:val="37254606"/>
    <w:multiLevelType w:val="hybridMultilevel"/>
    <w:tmpl w:val="5108191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8130038"/>
    <w:multiLevelType w:val="hybridMultilevel"/>
    <w:tmpl w:val="FF8A0FAE"/>
    <w:lvl w:ilvl="0" w:tplc="D6B6C02E">
      <w:start w:val="1"/>
      <w:numFmt w:val="bullet"/>
      <w:lvlText w:val=""/>
      <w:lvlJc w:val="left"/>
      <w:pPr>
        <w:ind w:left="1440" w:hanging="360"/>
      </w:pPr>
      <w:rPr>
        <w:rFonts w:ascii="Symbol" w:hAnsi="Symbol" w:hint="default"/>
        <w:color w:val="000000"/>
      </w:rPr>
    </w:lvl>
    <w:lvl w:ilvl="1" w:tplc="1A98BED8" w:tentative="1">
      <w:start w:val="1"/>
      <w:numFmt w:val="bullet"/>
      <w:lvlText w:val="o"/>
      <w:lvlJc w:val="left"/>
      <w:pPr>
        <w:ind w:left="2160" w:hanging="360"/>
      </w:pPr>
      <w:rPr>
        <w:rFonts w:ascii="Courier New" w:hAnsi="Courier New" w:cs="Courier New" w:hint="default"/>
      </w:rPr>
    </w:lvl>
    <w:lvl w:ilvl="2" w:tplc="D7CC2C68" w:tentative="1">
      <w:start w:val="1"/>
      <w:numFmt w:val="bullet"/>
      <w:lvlText w:val=""/>
      <w:lvlJc w:val="left"/>
      <w:pPr>
        <w:ind w:left="2880" w:hanging="360"/>
      </w:pPr>
      <w:rPr>
        <w:rFonts w:ascii="Wingdings" w:hAnsi="Wingdings" w:hint="default"/>
      </w:rPr>
    </w:lvl>
    <w:lvl w:ilvl="3" w:tplc="1B94466C" w:tentative="1">
      <w:start w:val="1"/>
      <w:numFmt w:val="bullet"/>
      <w:lvlText w:val=""/>
      <w:lvlJc w:val="left"/>
      <w:pPr>
        <w:ind w:left="3600" w:hanging="360"/>
      </w:pPr>
      <w:rPr>
        <w:rFonts w:ascii="Symbol" w:hAnsi="Symbol" w:hint="default"/>
      </w:rPr>
    </w:lvl>
    <w:lvl w:ilvl="4" w:tplc="2694677C" w:tentative="1">
      <w:start w:val="1"/>
      <w:numFmt w:val="bullet"/>
      <w:lvlText w:val="o"/>
      <w:lvlJc w:val="left"/>
      <w:pPr>
        <w:ind w:left="4320" w:hanging="360"/>
      </w:pPr>
      <w:rPr>
        <w:rFonts w:ascii="Courier New" w:hAnsi="Courier New" w:cs="Courier New" w:hint="default"/>
      </w:rPr>
    </w:lvl>
    <w:lvl w:ilvl="5" w:tplc="906864E2" w:tentative="1">
      <w:start w:val="1"/>
      <w:numFmt w:val="bullet"/>
      <w:lvlText w:val=""/>
      <w:lvlJc w:val="left"/>
      <w:pPr>
        <w:ind w:left="5040" w:hanging="360"/>
      </w:pPr>
      <w:rPr>
        <w:rFonts w:ascii="Wingdings" w:hAnsi="Wingdings" w:hint="default"/>
      </w:rPr>
    </w:lvl>
    <w:lvl w:ilvl="6" w:tplc="92261F7A" w:tentative="1">
      <w:start w:val="1"/>
      <w:numFmt w:val="bullet"/>
      <w:lvlText w:val=""/>
      <w:lvlJc w:val="left"/>
      <w:pPr>
        <w:ind w:left="5760" w:hanging="360"/>
      </w:pPr>
      <w:rPr>
        <w:rFonts w:ascii="Symbol" w:hAnsi="Symbol" w:hint="default"/>
      </w:rPr>
    </w:lvl>
    <w:lvl w:ilvl="7" w:tplc="E56285CC" w:tentative="1">
      <w:start w:val="1"/>
      <w:numFmt w:val="bullet"/>
      <w:lvlText w:val="o"/>
      <w:lvlJc w:val="left"/>
      <w:pPr>
        <w:ind w:left="6480" w:hanging="360"/>
      </w:pPr>
      <w:rPr>
        <w:rFonts w:ascii="Courier New" w:hAnsi="Courier New" w:cs="Courier New" w:hint="default"/>
      </w:rPr>
    </w:lvl>
    <w:lvl w:ilvl="8" w:tplc="5AFA8D60" w:tentative="1">
      <w:start w:val="1"/>
      <w:numFmt w:val="bullet"/>
      <w:lvlText w:val=""/>
      <w:lvlJc w:val="left"/>
      <w:pPr>
        <w:ind w:left="7200" w:hanging="360"/>
      </w:pPr>
      <w:rPr>
        <w:rFonts w:ascii="Wingdings" w:hAnsi="Wingdings" w:hint="default"/>
      </w:rPr>
    </w:lvl>
  </w:abstractNum>
  <w:abstractNum w:abstractNumId="31" w15:restartNumberingAfterBreak="0">
    <w:nsid w:val="38B3631D"/>
    <w:multiLevelType w:val="hybridMultilevel"/>
    <w:tmpl w:val="E59071A0"/>
    <w:name w:val="Appendix"/>
    <w:lvl w:ilvl="0" w:tplc="95E60E94">
      <w:start w:val="1"/>
      <w:numFmt w:val="decimal"/>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32" w15:restartNumberingAfterBreak="0">
    <w:nsid w:val="3A3B32D5"/>
    <w:multiLevelType w:val="hybridMultilevel"/>
    <w:tmpl w:val="BE6AA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474DF7"/>
    <w:multiLevelType w:val="multilevel"/>
    <w:tmpl w:val="F46C875E"/>
    <w:name w:val="Parties"/>
    <w:lvl w:ilvl="0">
      <w:start w:val="1"/>
      <w:numFmt w:val="decimal"/>
      <w:lvlText w:val="(%1)"/>
      <w:lvlJc w:val="left"/>
      <w:pPr>
        <w:tabs>
          <w:tab w:val="num" w:pos="720"/>
        </w:tabs>
        <w:ind w:left="720" w:hanging="720"/>
      </w:pPr>
      <w:rPr>
        <w:rFonts w:ascii="Arial" w:hAnsi="Arial" w:hint="default"/>
        <w:b/>
        <w:i w:val="0"/>
        <w:sz w:val="24"/>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3234A63"/>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35" w15:restartNumberingAfterBreak="0">
    <w:nsid w:val="44D67987"/>
    <w:multiLevelType w:val="hybridMultilevel"/>
    <w:tmpl w:val="EBD6FB80"/>
    <w:lvl w:ilvl="0" w:tplc="180AB12A">
      <w:start w:val="1"/>
      <w:numFmt w:val="bullet"/>
      <w:lvlText w:val=""/>
      <w:lvlJc w:val="left"/>
      <w:pPr>
        <w:ind w:left="1440" w:hanging="360"/>
      </w:pPr>
      <w:rPr>
        <w:rFonts w:ascii="Symbol" w:hAnsi="Symbol" w:hint="default"/>
        <w:color w:val="000000"/>
      </w:rPr>
    </w:lvl>
    <w:lvl w:ilvl="1" w:tplc="38DE17E4" w:tentative="1">
      <w:start w:val="1"/>
      <w:numFmt w:val="bullet"/>
      <w:lvlText w:val="o"/>
      <w:lvlJc w:val="left"/>
      <w:pPr>
        <w:ind w:left="2160" w:hanging="360"/>
      </w:pPr>
      <w:rPr>
        <w:rFonts w:ascii="Courier New" w:hAnsi="Courier New" w:cs="Courier New" w:hint="default"/>
      </w:rPr>
    </w:lvl>
    <w:lvl w:ilvl="2" w:tplc="03EA7F7A" w:tentative="1">
      <w:start w:val="1"/>
      <w:numFmt w:val="bullet"/>
      <w:lvlText w:val=""/>
      <w:lvlJc w:val="left"/>
      <w:pPr>
        <w:ind w:left="2880" w:hanging="360"/>
      </w:pPr>
      <w:rPr>
        <w:rFonts w:ascii="Wingdings" w:hAnsi="Wingdings" w:hint="default"/>
      </w:rPr>
    </w:lvl>
    <w:lvl w:ilvl="3" w:tplc="D48A33F2" w:tentative="1">
      <w:start w:val="1"/>
      <w:numFmt w:val="bullet"/>
      <w:lvlText w:val=""/>
      <w:lvlJc w:val="left"/>
      <w:pPr>
        <w:ind w:left="3600" w:hanging="360"/>
      </w:pPr>
      <w:rPr>
        <w:rFonts w:ascii="Symbol" w:hAnsi="Symbol" w:hint="default"/>
      </w:rPr>
    </w:lvl>
    <w:lvl w:ilvl="4" w:tplc="35BCC47A" w:tentative="1">
      <w:start w:val="1"/>
      <w:numFmt w:val="bullet"/>
      <w:lvlText w:val="o"/>
      <w:lvlJc w:val="left"/>
      <w:pPr>
        <w:ind w:left="4320" w:hanging="360"/>
      </w:pPr>
      <w:rPr>
        <w:rFonts w:ascii="Courier New" w:hAnsi="Courier New" w:cs="Courier New" w:hint="default"/>
      </w:rPr>
    </w:lvl>
    <w:lvl w:ilvl="5" w:tplc="2D58DA90" w:tentative="1">
      <w:start w:val="1"/>
      <w:numFmt w:val="bullet"/>
      <w:lvlText w:val=""/>
      <w:lvlJc w:val="left"/>
      <w:pPr>
        <w:ind w:left="5040" w:hanging="360"/>
      </w:pPr>
      <w:rPr>
        <w:rFonts w:ascii="Wingdings" w:hAnsi="Wingdings" w:hint="default"/>
      </w:rPr>
    </w:lvl>
    <w:lvl w:ilvl="6" w:tplc="7D9A03EA" w:tentative="1">
      <w:start w:val="1"/>
      <w:numFmt w:val="bullet"/>
      <w:lvlText w:val=""/>
      <w:lvlJc w:val="left"/>
      <w:pPr>
        <w:ind w:left="5760" w:hanging="360"/>
      </w:pPr>
      <w:rPr>
        <w:rFonts w:ascii="Symbol" w:hAnsi="Symbol" w:hint="default"/>
      </w:rPr>
    </w:lvl>
    <w:lvl w:ilvl="7" w:tplc="A9B4D85C" w:tentative="1">
      <w:start w:val="1"/>
      <w:numFmt w:val="bullet"/>
      <w:lvlText w:val="o"/>
      <w:lvlJc w:val="left"/>
      <w:pPr>
        <w:ind w:left="6480" w:hanging="360"/>
      </w:pPr>
      <w:rPr>
        <w:rFonts w:ascii="Courier New" w:hAnsi="Courier New" w:cs="Courier New" w:hint="default"/>
      </w:rPr>
    </w:lvl>
    <w:lvl w:ilvl="8" w:tplc="FC446582" w:tentative="1">
      <w:start w:val="1"/>
      <w:numFmt w:val="bullet"/>
      <w:lvlText w:val=""/>
      <w:lvlJc w:val="left"/>
      <w:pPr>
        <w:ind w:left="7200" w:hanging="360"/>
      </w:pPr>
      <w:rPr>
        <w:rFonts w:ascii="Wingdings" w:hAnsi="Wingdings" w:hint="default"/>
      </w:rPr>
    </w:lvl>
  </w:abstractNum>
  <w:abstractNum w:abstractNumId="36" w15:restartNumberingAfterBreak="0">
    <w:nsid w:val="44E96665"/>
    <w:multiLevelType w:val="hybridMultilevel"/>
    <w:tmpl w:val="EF1E142A"/>
    <w:lvl w:ilvl="0" w:tplc="EEC80212">
      <w:start w:val="1"/>
      <w:numFmt w:val="bullet"/>
      <w:lvlText w:val=""/>
      <w:lvlJc w:val="left"/>
      <w:pPr>
        <w:ind w:left="2988" w:hanging="360"/>
      </w:pPr>
      <w:rPr>
        <w:rFonts w:ascii="Symbol" w:hAnsi="Symbol" w:hint="default"/>
        <w:color w:val="000000"/>
      </w:rPr>
    </w:lvl>
    <w:lvl w:ilvl="1" w:tplc="C16029B0" w:tentative="1">
      <w:start w:val="1"/>
      <w:numFmt w:val="bullet"/>
      <w:lvlText w:val="o"/>
      <w:lvlJc w:val="left"/>
      <w:pPr>
        <w:ind w:left="3708" w:hanging="360"/>
      </w:pPr>
      <w:rPr>
        <w:rFonts w:ascii="Courier New" w:hAnsi="Courier New" w:cs="Courier New" w:hint="default"/>
      </w:rPr>
    </w:lvl>
    <w:lvl w:ilvl="2" w:tplc="C37A9D42" w:tentative="1">
      <w:start w:val="1"/>
      <w:numFmt w:val="bullet"/>
      <w:lvlText w:val=""/>
      <w:lvlJc w:val="left"/>
      <w:pPr>
        <w:ind w:left="4428" w:hanging="360"/>
      </w:pPr>
      <w:rPr>
        <w:rFonts w:ascii="Wingdings" w:hAnsi="Wingdings" w:hint="default"/>
      </w:rPr>
    </w:lvl>
    <w:lvl w:ilvl="3" w:tplc="7E9EE514" w:tentative="1">
      <w:start w:val="1"/>
      <w:numFmt w:val="bullet"/>
      <w:lvlText w:val=""/>
      <w:lvlJc w:val="left"/>
      <w:pPr>
        <w:ind w:left="5148" w:hanging="360"/>
      </w:pPr>
      <w:rPr>
        <w:rFonts w:ascii="Symbol" w:hAnsi="Symbol" w:hint="default"/>
      </w:rPr>
    </w:lvl>
    <w:lvl w:ilvl="4" w:tplc="BF62C8D2" w:tentative="1">
      <w:start w:val="1"/>
      <w:numFmt w:val="bullet"/>
      <w:lvlText w:val="o"/>
      <w:lvlJc w:val="left"/>
      <w:pPr>
        <w:ind w:left="5868" w:hanging="360"/>
      </w:pPr>
      <w:rPr>
        <w:rFonts w:ascii="Courier New" w:hAnsi="Courier New" w:cs="Courier New" w:hint="default"/>
      </w:rPr>
    </w:lvl>
    <w:lvl w:ilvl="5" w:tplc="98CC74F4" w:tentative="1">
      <w:start w:val="1"/>
      <w:numFmt w:val="bullet"/>
      <w:lvlText w:val=""/>
      <w:lvlJc w:val="left"/>
      <w:pPr>
        <w:ind w:left="6588" w:hanging="360"/>
      </w:pPr>
      <w:rPr>
        <w:rFonts w:ascii="Wingdings" w:hAnsi="Wingdings" w:hint="default"/>
      </w:rPr>
    </w:lvl>
    <w:lvl w:ilvl="6" w:tplc="1CB829EC" w:tentative="1">
      <w:start w:val="1"/>
      <w:numFmt w:val="bullet"/>
      <w:lvlText w:val=""/>
      <w:lvlJc w:val="left"/>
      <w:pPr>
        <w:ind w:left="7308" w:hanging="360"/>
      </w:pPr>
      <w:rPr>
        <w:rFonts w:ascii="Symbol" w:hAnsi="Symbol" w:hint="default"/>
      </w:rPr>
    </w:lvl>
    <w:lvl w:ilvl="7" w:tplc="A72CCD2E" w:tentative="1">
      <w:start w:val="1"/>
      <w:numFmt w:val="bullet"/>
      <w:lvlText w:val="o"/>
      <w:lvlJc w:val="left"/>
      <w:pPr>
        <w:ind w:left="8028" w:hanging="360"/>
      </w:pPr>
      <w:rPr>
        <w:rFonts w:ascii="Courier New" w:hAnsi="Courier New" w:cs="Courier New" w:hint="default"/>
      </w:rPr>
    </w:lvl>
    <w:lvl w:ilvl="8" w:tplc="DE0E6E54" w:tentative="1">
      <w:start w:val="1"/>
      <w:numFmt w:val="bullet"/>
      <w:lvlText w:val=""/>
      <w:lvlJc w:val="left"/>
      <w:pPr>
        <w:ind w:left="8748" w:hanging="360"/>
      </w:pPr>
      <w:rPr>
        <w:rFonts w:ascii="Wingdings" w:hAnsi="Wingdings" w:hint="default"/>
      </w:rPr>
    </w:lvl>
  </w:abstractNum>
  <w:abstractNum w:abstractNumId="37" w15:restartNumberingAfterBreak="0">
    <w:nsid w:val="46AC04C6"/>
    <w:multiLevelType w:val="hybridMultilevel"/>
    <w:tmpl w:val="E6C47700"/>
    <w:lvl w:ilvl="0" w:tplc="9C669A50">
      <w:start w:val="1"/>
      <w:numFmt w:val="bullet"/>
      <w:lvlText w:val=""/>
      <w:lvlJc w:val="left"/>
      <w:pPr>
        <w:ind w:left="2279" w:hanging="360"/>
      </w:pPr>
      <w:rPr>
        <w:rFonts w:ascii="Symbol" w:hAnsi="Symbol" w:hint="default"/>
        <w:color w:val="000000"/>
      </w:rPr>
    </w:lvl>
    <w:lvl w:ilvl="1" w:tplc="9B3CC5AA" w:tentative="1">
      <w:start w:val="1"/>
      <w:numFmt w:val="bullet"/>
      <w:lvlText w:val="o"/>
      <w:lvlJc w:val="left"/>
      <w:pPr>
        <w:ind w:left="2999" w:hanging="360"/>
      </w:pPr>
      <w:rPr>
        <w:rFonts w:ascii="Courier New" w:hAnsi="Courier New" w:cs="Courier New" w:hint="default"/>
      </w:rPr>
    </w:lvl>
    <w:lvl w:ilvl="2" w:tplc="BEF2F692" w:tentative="1">
      <w:start w:val="1"/>
      <w:numFmt w:val="bullet"/>
      <w:lvlText w:val=""/>
      <w:lvlJc w:val="left"/>
      <w:pPr>
        <w:ind w:left="3719" w:hanging="360"/>
      </w:pPr>
      <w:rPr>
        <w:rFonts w:ascii="Wingdings" w:hAnsi="Wingdings" w:hint="default"/>
      </w:rPr>
    </w:lvl>
    <w:lvl w:ilvl="3" w:tplc="DD465602" w:tentative="1">
      <w:start w:val="1"/>
      <w:numFmt w:val="bullet"/>
      <w:lvlText w:val=""/>
      <w:lvlJc w:val="left"/>
      <w:pPr>
        <w:ind w:left="4439" w:hanging="360"/>
      </w:pPr>
      <w:rPr>
        <w:rFonts w:ascii="Symbol" w:hAnsi="Symbol" w:hint="default"/>
      </w:rPr>
    </w:lvl>
    <w:lvl w:ilvl="4" w:tplc="FEDC0544" w:tentative="1">
      <w:start w:val="1"/>
      <w:numFmt w:val="bullet"/>
      <w:lvlText w:val="o"/>
      <w:lvlJc w:val="left"/>
      <w:pPr>
        <w:ind w:left="5159" w:hanging="360"/>
      </w:pPr>
      <w:rPr>
        <w:rFonts w:ascii="Courier New" w:hAnsi="Courier New" w:cs="Courier New" w:hint="default"/>
      </w:rPr>
    </w:lvl>
    <w:lvl w:ilvl="5" w:tplc="8020B240" w:tentative="1">
      <w:start w:val="1"/>
      <w:numFmt w:val="bullet"/>
      <w:lvlText w:val=""/>
      <w:lvlJc w:val="left"/>
      <w:pPr>
        <w:ind w:left="5879" w:hanging="360"/>
      </w:pPr>
      <w:rPr>
        <w:rFonts w:ascii="Wingdings" w:hAnsi="Wingdings" w:hint="default"/>
      </w:rPr>
    </w:lvl>
    <w:lvl w:ilvl="6" w:tplc="E9167C6C" w:tentative="1">
      <w:start w:val="1"/>
      <w:numFmt w:val="bullet"/>
      <w:lvlText w:val=""/>
      <w:lvlJc w:val="left"/>
      <w:pPr>
        <w:ind w:left="6599" w:hanging="360"/>
      </w:pPr>
      <w:rPr>
        <w:rFonts w:ascii="Symbol" w:hAnsi="Symbol" w:hint="default"/>
      </w:rPr>
    </w:lvl>
    <w:lvl w:ilvl="7" w:tplc="99E0C65C" w:tentative="1">
      <w:start w:val="1"/>
      <w:numFmt w:val="bullet"/>
      <w:lvlText w:val="o"/>
      <w:lvlJc w:val="left"/>
      <w:pPr>
        <w:ind w:left="7319" w:hanging="360"/>
      </w:pPr>
      <w:rPr>
        <w:rFonts w:ascii="Courier New" w:hAnsi="Courier New" w:cs="Courier New" w:hint="default"/>
      </w:rPr>
    </w:lvl>
    <w:lvl w:ilvl="8" w:tplc="63C2727C" w:tentative="1">
      <w:start w:val="1"/>
      <w:numFmt w:val="bullet"/>
      <w:lvlText w:val=""/>
      <w:lvlJc w:val="left"/>
      <w:pPr>
        <w:ind w:left="8039" w:hanging="360"/>
      </w:pPr>
      <w:rPr>
        <w:rFonts w:ascii="Wingdings" w:hAnsi="Wingdings" w:hint="default"/>
      </w:rPr>
    </w:lvl>
  </w:abstractNum>
  <w:abstractNum w:abstractNumId="38" w15:restartNumberingAfterBreak="0">
    <w:nsid w:val="47F42723"/>
    <w:multiLevelType w:val="hybridMultilevel"/>
    <w:tmpl w:val="C5A02EE6"/>
    <w:lvl w:ilvl="0" w:tplc="38BE2462">
      <w:start w:val="1"/>
      <w:numFmt w:val="bullet"/>
      <w:lvlText w:val=""/>
      <w:lvlJc w:val="left"/>
      <w:pPr>
        <w:ind w:left="1440" w:hanging="360"/>
      </w:pPr>
      <w:rPr>
        <w:rFonts w:ascii="Symbol" w:hAnsi="Symbol" w:hint="default"/>
        <w:color w:val="000000"/>
      </w:rPr>
    </w:lvl>
    <w:lvl w:ilvl="1" w:tplc="067C2702" w:tentative="1">
      <w:start w:val="1"/>
      <w:numFmt w:val="bullet"/>
      <w:lvlText w:val="o"/>
      <w:lvlJc w:val="left"/>
      <w:pPr>
        <w:ind w:left="2160" w:hanging="360"/>
      </w:pPr>
      <w:rPr>
        <w:rFonts w:ascii="Courier New" w:hAnsi="Courier New" w:cs="Courier New" w:hint="default"/>
      </w:rPr>
    </w:lvl>
    <w:lvl w:ilvl="2" w:tplc="026EB82C" w:tentative="1">
      <w:start w:val="1"/>
      <w:numFmt w:val="bullet"/>
      <w:lvlText w:val=""/>
      <w:lvlJc w:val="left"/>
      <w:pPr>
        <w:ind w:left="2880" w:hanging="360"/>
      </w:pPr>
      <w:rPr>
        <w:rFonts w:ascii="Wingdings" w:hAnsi="Wingdings" w:hint="default"/>
      </w:rPr>
    </w:lvl>
    <w:lvl w:ilvl="3" w:tplc="012C37EE" w:tentative="1">
      <w:start w:val="1"/>
      <w:numFmt w:val="bullet"/>
      <w:lvlText w:val=""/>
      <w:lvlJc w:val="left"/>
      <w:pPr>
        <w:ind w:left="3600" w:hanging="360"/>
      </w:pPr>
      <w:rPr>
        <w:rFonts w:ascii="Symbol" w:hAnsi="Symbol" w:hint="default"/>
      </w:rPr>
    </w:lvl>
    <w:lvl w:ilvl="4" w:tplc="1DDE270A" w:tentative="1">
      <w:start w:val="1"/>
      <w:numFmt w:val="bullet"/>
      <w:lvlText w:val="o"/>
      <w:lvlJc w:val="left"/>
      <w:pPr>
        <w:ind w:left="4320" w:hanging="360"/>
      </w:pPr>
      <w:rPr>
        <w:rFonts w:ascii="Courier New" w:hAnsi="Courier New" w:cs="Courier New" w:hint="default"/>
      </w:rPr>
    </w:lvl>
    <w:lvl w:ilvl="5" w:tplc="FAF07D1A" w:tentative="1">
      <w:start w:val="1"/>
      <w:numFmt w:val="bullet"/>
      <w:lvlText w:val=""/>
      <w:lvlJc w:val="left"/>
      <w:pPr>
        <w:ind w:left="5040" w:hanging="360"/>
      </w:pPr>
      <w:rPr>
        <w:rFonts w:ascii="Wingdings" w:hAnsi="Wingdings" w:hint="default"/>
      </w:rPr>
    </w:lvl>
    <w:lvl w:ilvl="6" w:tplc="B3183B74" w:tentative="1">
      <w:start w:val="1"/>
      <w:numFmt w:val="bullet"/>
      <w:lvlText w:val=""/>
      <w:lvlJc w:val="left"/>
      <w:pPr>
        <w:ind w:left="5760" w:hanging="360"/>
      </w:pPr>
      <w:rPr>
        <w:rFonts w:ascii="Symbol" w:hAnsi="Symbol" w:hint="default"/>
      </w:rPr>
    </w:lvl>
    <w:lvl w:ilvl="7" w:tplc="21D2DE8C" w:tentative="1">
      <w:start w:val="1"/>
      <w:numFmt w:val="bullet"/>
      <w:lvlText w:val="o"/>
      <w:lvlJc w:val="left"/>
      <w:pPr>
        <w:ind w:left="6480" w:hanging="360"/>
      </w:pPr>
      <w:rPr>
        <w:rFonts w:ascii="Courier New" w:hAnsi="Courier New" w:cs="Courier New" w:hint="default"/>
      </w:rPr>
    </w:lvl>
    <w:lvl w:ilvl="8" w:tplc="1A2AFF88" w:tentative="1">
      <w:start w:val="1"/>
      <w:numFmt w:val="bullet"/>
      <w:lvlText w:val=""/>
      <w:lvlJc w:val="left"/>
      <w:pPr>
        <w:ind w:left="7200" w:hanging="360"/>
      </w:pPr>
      <w:rPr>
        <w:rFonts w:ascii="Wingdings" w:hAnsi="Wingdings" w:hint="default"/>
      </w:rPr>
    </w:lvl>
  </w:abstractNum>
  <w:abstractNum w:abstractNumId="39" w15:restartNumberingAfterBreak="0">
    <w:nsid w:val="4C0E7E6D"/>
    <w:multiLevelType w:val="hybridMultilevel"/>
    <w:tmpl w:val="EEBE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103F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FB644B4"/>
    <w:multiLevelType w:val="multilevel"/>
    <w:tmpl w:val="ECEA8670"/>
    <w:name w:val="Bullet"/>
    <w:lvl w:ilvl="0">
      <w:start w:val="1"/>
      <w:numFmt w:val="bullet"/>
      <w:lvlText w:val="•"/>
      <w:lvlJc w:val="left"/>
      <w:pPr>
        <w:tabs>
          <w:tab w:val="num" w:pos="720"/>
        </w:tabs>
        <w:ind w:left="720" w:hanging="720"/>
      </w:pPr>
      <w:rPr>
        <w:rFonts w:ascii="Calibri" w:hAnsi="Calibri" w:hint="default"/>
        <w:b w:val="0"/>
        <w:i w:val="0"/>
        <w:caps/>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2" w15:restartNumberingAfterBreak="0">
    <w:nsid w:val="5523595D"/>
    <w:multiLevelType w:val="multilevel"/>
    <w:tmpl w:val="E15AD34E"/>
    <w:lvl w:ilvl="0">
      <w:start w:val="1"/>
      <w:numFmt w:val="bullet"/>
      <w:pStyle w:val="OATliststyle"/>
      <w:lvlText w:val=""/>
      <w:lvlJc w:val="left"/>
      <w:pPr>
        <w:ind w:left="360" w:hanging="360"/>
      </w:pPr>
      <w:rPr>
        <w:rFonts w:ascii="Symbol" w:hAnsi="Symbol" w:hint="default"/>
        <w:color w:val="auto"/>
      </w:rPr>
    </w:lvl>
    <w:lvl w:ilvl="1">
      <w:start w:val="1"/>
      <w:numFmt w:val="bullet"/>
      <w:lvlText w:val=""/>
      <w:lvlJc w:val="left"/>
      <w:pPr>
        <w:ind w:left="567" w:hanging="283"/>
      </w:pPr>
      <w:rPr>
        <w:rFonts w:ascii="Symbol" w:hAnsi="Symbol" w:hint="default"/>
        <w:color w:val="808080"/>
      </w:rPr>
    </w:lvl>
    <w:lvl w:ilvl="2">
      <w:start w:val="1"/>
      <w:numFmt w:val="bullet"/>
      <w:lvlText w:val=""/>
      <w:lvlJc w:val="left"/>
      <w:pPr>
        <w:ind w:left="851" w:hanging="284"/>
      </w:pPr>
      <w:rPr>
        <w:rFonts w:ascii="Symbol" w:hAnsi="Symbol" w:hint="default"/>
        <w:color w:val="8080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5CB0AF0"/>
    <w:multiLevelType w:val="hybridMultilevel"/>
    <w:tmpl w:val="EB98B43A"/>
    <w:lvl w:ilvl="0" w:tplc="452292DE">
      <w:start w:val="1"/>
      <w:numFmt w:val="decimal"/>
      <w:lvlText w:val="%1."/>
      <w:lvlJc w:val="left"/>
      <w:pPr>
        <w:ind w:left="360" w:hanging="360"/>
      </w:pPr>
      <w:rPr>
        <w:rFonts w:hint="default"/>
        <w:b/>
        <w:i w:val="0"/>
        <w:color w:val="000000"/>
        <w:sz w:val="24"/>
      </w:rPr>
    </w:lvl>
    <w:lvl w:ilvl="1" w:tplc="EE8E3D24" w:tentative="1">
      <w:start w:val="1"/>
      <w:numFmt w:val="lowerLetter"/>
      <w:lvlText w:val="%2."/>
      <w:lvlJc w:val="left"/>
      <w:pPr>
        <w:ind w:left="1440" w:hanging="360"/>
      </w:pPr>
    </w:lvl>
    <w:lvl w:ilvl="2" w:tplc="0B981EBE" w:tentative="1">
      <w:start w:val="1"/>
      <w:numFmt w:val="lowerRoman"/>
      <w:lvlText w:val="%3."/>
      <w:lvlJc w:val="right"/>
      <w:pPr>
        <w:ind w:left="2160" w:hanging="180"/>
      </w:pPr>
    </w:lvl>
    <w:lvl w:ilvl="3" w:tplc="A97A2062" w:tentative="1">
      <w:start w:val="1"/>
      <w:numFmt w:val="decimal"/>
      <w:lvlText w:val="%4."/>
      <w:lvlJc w:val="left"/>
      <w:pPr>
        <w:ind w:left="2880" w:hanging="360"/>
      </w:pPr>
    </w:lvl>
    <w:lvl w:ilvl="4" w:tplc="ADE0E4F4" w:tentative="1">
      <w:start w:val="1"/>
      <w:numFmt w:val="lowerLetter"/>
      <w:lvlText w:val="%5."/>
      <w:lvlJc w:val="left"/>
      <w:pPr>
        <w:ind w:left="3600" w:hanging="360"/>
      </w:pPr>
    </w:lvl>
    <w:lvl w:ilvl="5" w:tplc="FAF8C9A4" w:tentative="1">
      <w:start w:val="1"/>
      <w:numFmt w:val="lowerRoman"/>
      <w:lvlText w:val="%6."/>
      <w:lvlJc w:val="right"/>
      <w:pPr>
        <w:ind w:left="4320" w:hanging="180"/>
      </w:pPr>
    </w:lvl>
    <w:lvl w:ilvl="6" w:tplc="24C049FA" w:tentative="1">
      <w:start w:val="1"/>
      <w:numFmt w:val="decimal"/>
      <w:lvlText w:val="%7."/>
      <w:lvlJc w:val="left"/>
      <w:pPr>
        <w:ind w:left="5040" w:hanging="360"/>
      </w:pPr>
    </w:lvl>
    <w:lvl w:ilvl="7" w:tplc="7FC657FC" w:tentative="1">
      <w:start w:val="1"/>
      <w:numFmt w:val="lowerLetter"/>
      <w:lvlText w:val="%8."/>
      <w:lvlJc w:val="left"/>
      <w:pPr>
        <w:ind w:left="5760" w:hanging="360"/>
      </w:pPr>
    </w:lvl>
    <w:lvl w:ilvl="8" w:tplc="DDC8FC0A" w:tentative="1">
      <w:start w:val="1"/>
      <w:numFmt w:val="lowerRoman"/>
      <w:lvlText w:val="%9."/>
      <w:lvlJc w:val="right"/>
      <w:pPr>
        <w:ind w:left="6480" w:hanging="180"/>
      </w:pPr>
    </w:lvl>
  </w:abstractNum>
  <w:abstractNum w:abstractNumId="44" w15:restartNumberingAfterBreak="0">
    <w:nsid w:val="5720380E"/>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84D465D"/>
    <w:multiLevelType w:val="hybridMultilevel"/>
    <w:tmpl w:val="5874E4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902466"/>
    <w:multiLevelType w:val="hybridMultilevel"/>
    <w:tmpl w:val="15642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047A24"/>
    <w:multiLevelType w:val="multilevel"/>
    <w:tmpl w:val="A3A2166C"/>
    <w:name w:val="Level 1 number"/>
    <w:lvl w:ilvl="0">
      <w:start w:val="1"/>
      <w:numFmt w:val="decimal"/>
      <w:lvlText w:val="%1"/>
      <w:lvlJc w:val="left"/>
      <w:pPr>
        <w:tabs>
          <w:tab w:val="num" w:pos="720"/>
        </w:tabs>
        <w:ind w:left="720" w:hanging="720"/>
      </w:pPr>
      <w:rPr>
        <w:rFonts w:hint="default"/>
        <w:b/>
        <w:i w:val="0"/>
        <w:caps w:val="0"/>
        <w:sz w:val="24"/>
        <w:szCs w:val="24"/>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1440"/>
        </w:tabs>
        <w:ind w:left="1440" w:hanging="720"/>
      </w:pPr>
      <w:rPr>
        <w:rFonts w:ascii="Arial" w:hAnsi="Arial" w:cs="Arial" w:hint="default"/>
        <w:b w:val="0"/>
        <w:i w:val="0"/>
        <w:sz w:val="20"/>
        <w:szCs w:val="22"/>
      </w:rPr>
    </w:lvl>
    <w:lvl w:ilvl="3">
      <w:start w:val="1"/>
      <w:numFmt w:val="lowerLetter"/>
      <w:lvlText w:val="(%4)"/>
      <w:lvlJc w:val="left"/>
      <w:pPr>
        <w:tabs>
          <w:tab w:val="num" w:pos="2160"/>
        </w:tabs>
        <w:ind w:left="2160" w:hanging="720"/>
      </w:pPr>
      <w:rPr>
        <w:rFonts w:ascii="Arial" w:hAnsi="Arial" w:cs="Arial" w:hint="default"/>
        <w:b w:val="0"/>
        <w:i w:val="0"/>
        <w:sz w:val="20"/>
        <w:szCs w:val="22"/>
      </w:rPr>
    </w:lvl>
    <w:lvl w:ilvl="4">
      <w:start w:val="1"/>
      <w:numFmt w:val="lowerRoman"/>
      <w:lvlText w:val="(%5)"/>
      <w:lvlJc w:val="left"/>
      <w:pPr>
        <w:tabs>
          <w:tab w:val="num" w:pos="2880"/>
        </w:tabs>
        <w:ind w:left="2880" w:hanging="720"/>
      </w:pPr>
      <w:rPr>
        <w:rFonts w:ascii="Arial" w:hAnsi="Arial" w:cs="Arial" w:hint="default"/>
        <w:b w:val="0"/>
        <w:i w:val="0"/>
        <w:sz w:val="20"/>
        <w:szCs w:val="22"/>
      </w:rPr>
    </w:lvl>
    <w:lvl w:ilvl="5">
      <w:start w:val="1"/>
      <w:numFmt w:val="upperLetter"/>
      <w:lvlText w:val="(%6)"/>
      <w:lvlJc w:val="left"/>
      <w:pPr>
        <w:tabs>
          <w:tab w:val="num" w:pos="3600"/>
        </w:tabs>
        <w:ind w:left="3600" w:hanging="720"/>
      </w:pPr>
      <w:rPr>
        <w:rFonts w:ascii="Arial" w:hAnsi="Arial" w:cs="Arial" w:hint="default"/>
        <w:b w:val="0"/>
        <w:i w:val="0"/>
        <w:sz w:val="20"/>
      </w:rPr>
    </w:lvl>
    <w:lvl w:ilvl="6">
      <w:start w:val="1"/>
      <w:numFmt w:val="decimal"/>
      <w:lvlText w:val="(%7)"/>
      <w:lvlJc w:val="left"/>
      <w:pPr>
        <w:tabs>
          <w:tab w:val="num" w:pos="4320"/>
        </w:tabs>
        <w:ind w:left="4320" w:hanging="720"/>
      </w:pPr>
      <w:rPr>
        <w:rFonts w:ascii="Arial" w:hAnsi="Arial" w:cs="Arial" w:hint="default"/>
        <w:b w:val="0"/>
        <w:sz w:val="20"/>
      </w:rPr>
    </w:lvl>
    <w:lvl w:ilvl="7">
      <w:start w:val="1"/>
      <w:numFmt w:val="lowerLetter"/>
      <w:lvlText w:val="%8)"/>
      <w:lvlJc w:val="left"/>
      <w:pPr>
        <w:tabs>
          <w:tab w:val="num" w:pos="5040"/>
        </w:tabs>
        <w:ind w:left="5040" w:hanging="720"/>
      </w:pPr>
      <w:rPr>
        <w:rFonts w:ascii="Arial" w:hAnsi="Arial" w:cs="Arial" w:hint="default"/>
        <w:b w:val="0"/>
        <w:i w:val="0"/>
        <w:sz w:val="20"/>
      </w:rPr>
    </w:lvl>
    <w:lvl w:ilvl="8">
      <w:start w:val="1"/>
      <w:numFmt w:val="lowerRoman"/>
      <w:lvlText w:val="%9)"/>
      <w:lvlJc w:val="left"/>
      <w:pPr>
        <w:tabs>
          <w:tab w:val="num" w:pos="5760"/>
        </w:tabs>
        <w:ind w:left="5760" w:hanging="720"/>
      </w:pPr>
      <w:rPr>
        <w:rFonts w:ascii="Arial" w:hAnsi="Arial" w:cs="Arial" w:hint="default"/>
        <w:b w:val="0"/>
        <w:i w:val="0"/>
        <w:sz w:val="20"/>
      </w:rPr>
    </w:lvl>
  </w:abstractNum>
  <w:abstractNum w:abstractNumId="48" w15:restartNumberingAfterBreak="0">
    <w:nsid w:val="5EF5161A"/>
    <w:multiLevelType w:val="hybridMultilevel"/>
    <w:tmpl w:val="0E5AEA7E"/>
    <w:name w:val="Tender biog bullet"/>
    <w:lvl w:ilvl="0" w:tplc="A950EA2A">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071422"/>
    <w:multiLevelType w:val="hybridMultilevel"/>
    <w:tmpl w:val="59B858D8"/>
    <w:lvl w:ilvl="0" w:tplc="5DF4E6A8">
      <w:start w:val="1"/>
      <w:numFmt w:val="bullet"/>
      <w:lvlText w:val=""/>
      <w:lvlJc w:val="left"/>
      <w:pPr>
        <w:ind w:left="1080" w:hanging="360"/>
      </w:pPr>
      <w:rPr>
        <w:rFonts w:ascii="Symbol" w:hAnsi="Symbol" w:hint="default"/>
        <w:color w:val="000000"/>
      </w:rPr>
    </w:lvl>
    <w:lvl w:ilvl="1" w:tplc="6A4C76F2" w:tentative="1">
      <w:start w:val="1"/>
      <w:numFmt w:val="bullet"/>
      <w:lvlText w:val="o"/>
      <w:lvlJc w:val="left"/>
      <w:pPr>
        <w:ind w:left="1800" w:hanging="360"/>
      </w:pPr>
      <w:rPr>
        <w:rFonts w:ascii="Courier New" w:hAnsi="Courier New" w:cs="Courier New" w:hint="default"/>
      </w:rPr>
    </w:lvl>
    <w:lvl w:ilvl="2" w:tplc="8F9CBE9E" w:tentative="1">
      <w:start w:val="1"/>
      <w:numFmt w:val="bullet"/>
      <w:lvlText w:val=""/>
      <w:lvlJc w:val="left"/>
      <w:pPr>
        <w:ind w:left="2520" w:hanging="360"/>
      </w:pPr>
      <w:rPr>
        <w:rFonts w:ascii="Wingdings" w:hAnsi="Wingdings" w:hint="default"/>
      </w:rPr>
    </w:lvl>
    <w:lvl w:ilvl="3" w:tplc="52528CD2" w:tentative="1">
      <w:start w:val="1"/>
      <w:numFmt w:val="bullet"/>
      <w:lvlText w:val=""/>
      <w:lvlJc w:val="left"/>
      <w:pPr>
        <w:ind w:left="3240" w:hanging="360"/>
      </w:pPr>
      <w:rPr>
        <w:rFonts w:ascii="Symbol" w:hAnsi="Symbol" w:hint="default"/>
      </w:rPr>
    </w:lvl>
    <w:lvl w:ilvl="4" w:tplc="EE586346" w:tentative="1">
      <w:start w:val="1"/>
      <w:numFmt w:val="bullet"/>
      <w:lvlText w:val="o"/>
      <w:lvlJc w:val="left"/>
      <w:pPr>
        <w:ind w:left="3960" w:hanging="360"/>
      </w:pPr>
      <w:rPr>
        <w:rFonts w:ascii="Courier New" w:hAnsi="Courier New" w:cs="Courier New" w:hint="default"/>
      </w:rPr>
    </w:lvl>
    <w:lvl w:ilvl="5" w:tplc="E8D62092" w:tentative="1">
      <w:start w:val="1"/>
      <w:numFmt w:val="bullet"/>
      <w:lvlText w:val=""/>
      <w:lvlJc w:val="left"/>
      <w:pPr>
        <w:ind w:left="4680" w:hanging="360"/>
      </w:pPr>
      <w:rPr>
        <w:rFonts w:ascii="Wingdings" w:hAnsi="Wingdings" w:hint="default"/>
      </w:rPr>
    </w:lvl>
    <w:lvl w:ilvl="6" w:tplc="F41676EA" w:tentative="1">
      <w:start w:val="1"/>
      <w:numFmt w:val="bullet"/>
      <w:lvlText w:val=""/>
      <w:lvlJc w:val="left"/>
      <w:pPr>
        <w:ind w:left="5400" w:hanging="360"/>
      </w:pPr>
      <w:rPr>
        <w:rFonts w:ascii="Symbol" w:hAnsi="Symbol" w:hint="default"/>
      </w:rPr>
    </w:lvl>
    <w:lvl w:ilvl="7" w:tplc="893E70EA" w:tentative="1">
      <w:start w:val="1"/>
      <w:numFmt w:val="bullet"/>
      <w:lvlText w:val="o"/>
      <w:lvlJc w:val="left"/>
      <w:pPr>
        <w:ind w:left="6120" w:hanging="360"/>
      </w:pPr>
      <w:rPr>
        <w:rFonts w:ascii="Courier New" w:hAnsi="Courier New" w:cs="Courier New" w:hint="default"/>
      </w:rPr>
    </w:lvl>
    <w:lvl w:ilvl="8" w:tplc="4832364E" w:tentative="1">
      <w:start w:val="1"/>
      <w:numFmt w:val="bullet"/>
      <w:lvlText w:val=""/>
      <w:lvlJc w:val="left"/>
      <w:pPr>
        <w:ind w:left="6840" w:hanging="360"/>
      </w:pPr>
      <w:rPr>
        <w:rFonts w:ascii="Wingdings" w:hAnsi="Wingdings" w:hint="default"/>
      </w:rPr>
    </w:lvl>
  </w:abstractNum>
  <w:abstractNum w:abstractNumId="50" w15:restartNumberingAfterBreak="0">
    <w:nsid w:val="642371CD"/>
    <w:multiLevelType w:val="hybridMultilevel"/>
    <w:tmpl w:val="3B76A654"/>
    <w:lvl w:ilvl="0" w:tplc="04021BAE">
      <w:start w:val="1"/>
      <w:numFmt w:val="bullet"/>
      <w:lvlText w:val=""/>
      <w:lvlJc w:val="left"/>
      <w:pPr>
        <w:ind w:left="3748" w:hanging="360"/>
      </w:pPr>
      <w:rPr>
        <w:rFonts w:ascii="Symbol" w:hAnsi="Symbol" w:hint="default"/>
        <w:color w:val="000000"/>
      </w:rPr>
    </w:lvl>
    <w:lvl w:ilvl="1" w:tplc="2662EF42" w:tentative="1">
      <w:start w:val="1"/>
      <w:numFmt w:val="bullet"/>
      <w:lvlText w:val="o"/>
      <w:lvlJc w:val="left"/>
      <w:pPr>
        <w:ind w:left="4468" w:hanging="360"/>
      </w:pPr>
      <w:rPr>
        <w:rFonts w:ascii="Courier New" w:hAnsi="Courier New" w:cs="Courier New" w:hint="default"/>
      </w:rPr>
    </w:lvl>
    <w:lvl w:ilvl="2" w:tplc="5DE0EB9E" w:tentative="1">
      <w:start w:val="1"/>
      <w:numFmt w:val="bullet"/>
      <w:lvlText w:val=""/>
      <w:lvlJc w:val="left"/>
      <w:pPr>
        <w:ind w:left="5188" w:hanging="360"/>
      </w:pPr>
      <w:rPr>
        <w:rFonts w:ascii="Wingdings" w:hAnsi="Wingdings" w:hint="default"/>
      </w:rPr>
    </w:lvl>
    <w:lvl w:ilvl="3" w:tplc="9A24E7B2" w:tentative="1">
      <w:start w:val="1"/>
      <w:numFmt w:val="bullet"/>
      <w:lvlText w:val=""/>
      <w:lvlJc w:val="left"/>
      <w:pPr>
        <w:ind w:left="5908" w:hanging="360"/>
      </w:pPr>
      <w:rPr>
        <w:rFonts w:ascii="Symbol" w:hAnsi="Symbol" w:hint="default"/>
      </w:rPr>
    </w:lvl>
    <w:lvl w:ilvl="4" w:tplc="197648DA" w:tentative="1">
      <w:start w:val="1"/>
      <w:numFmt w:val="bullet"/>
      <w:lvlText w:val="o"/>
      <w:lvlJc w:val="left"/>
      <w:pPr>
        <w:ind w:left="6628" w:hanging="360"/>
      </w:pPr>
      <w:rPr>
        <w:rFonts w:ascii="Courier New" w:hAnsi="Courier New" w:cs="Courier New" w:hint="default"/>
      </w:rPr>
    </w:lvl>
    <w:lvl w:ilvl="5" w:tplc="464E96D8" w:tentative="1">
      <w:start w:val="1"/>
      <w:numFmt w:val="bullet"/>
      <w:lvlText w:val=""/>
      <w:lvlJc w:val="left"/>
      <w:pPr>
        <w:ind w:left="7348" w:hanging="360"/>
      </w:pPr>
      <w:rPr>
        <w:rFonts w:ascii="Wingdings" w:hAnsi="Wingdings" w:hint="default"/>
      </w:rPr>
    </w:lvl>
    <w:lvl w:ilvl="6" w:tplc="818A06C4" w:tentative="1">
      <w:start w:val="1"/>
      <w:numFmt w:val="bullet"/>
      <w:lvlText w:val=""/>
      <w:lvlJc w:val="left"/>
      <w:pPr>
        <w:ind w:left="8068" w:hanging="360"/>
      </w:pPr>
      <w:rPr>
        <w:rFonts w:ascii="Symbol" w:hAnsi="Symbol" w:hint="default"/>
      </w:rPr>
    </w:lvl>
    <w:lvl w:ilvl="7" w:tplc="E0EE9408" w:tentative="1">
      <w:start w:val="1"/>
      <w:numFmt w:val="bullet"/>
      <w:lvlText w:val="o"/>
      <w:lvlJc w:val="left"/>
      <w:pPr>
        <w:ind w:left="8788" w:hanging="360"/>
      </w:pPr>
      <w:rPr>
        <w:rFonts w:ascii="Courier New" w:hAnsi="Courier New" w:cs="Courier New" w:hint="default"/>
      </w:rPr>
    </w:lvl>
    <w:lvl w:ilvl="8" w:tplc="70F84D98" w:tentative="1">
      <w:start w:val="1"/>
      <w:numFmt w:val="bullet"/>
      <w:lvlText w:val=""/>
      <w:lvlJc w:val="left"/>
      <w:pPr>
        <w:ind w:left="9508" w:hanging="360"/>
      </w:pPr>
      <w:rPr>
        <w:rFonts w:ascii="Wingdings" w:hAnsi="Wingdings" w:hint="default"/>
      </w:rPr>
    </w:lvl>
  </w:abstractNum>
  <w:abstractNum w:abstractNumId="51" w15:restartNumberingAfterBreak="0">
    <w:nsid w:val="64857D1A"/>
    <w:multiLevelType w:val="hybridMultilevel"/>
    <w:tmpl w:val="45704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6966731"/>
    <w:multiLevelType w:val="multilevel"/>
    <w:tmpl w:val="4112B09A"/>
    <w:lvl w:ilvl="0">
      <w:start w:val="1"/>
      <w:numFmt w:val="upperLetter"/>
      <w:lvlText w:val="(%1)"/>
      <w:lvlJc w:val="left"/>
      <w:pPr>
        <w:tabs>
          <w:tab w:val="num" w:pos="720"/>
        </w:tabs>
        <w:ind w:left="720" w:hanging="720"/>
      </w:pPr>
      <w:rPr>
        <w:b w:val="0"/>
        <w:i w:val="0"/>
        <w:caps/>
        <w:color w:val="000000"/>
        <w:sz w:val="20"/>
      </w:rPr>
    </w:lvl>
    <w:lvl w:ilvl="1">
      <w:start w:val="1"/>
      <w:numFmt w:val="lowerLetter"/>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3" w15:restartNumberingAfterBreak="0">
    <w:nsid w:val="684162DD"/>
    <w:multiLevelType w:val="hybridMultilevel"/>
    <w:tmpl w:val="200A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14466B"/>
    <w:multiLevelType w:val="hybridMultilevel"/>
    <w:tmpl w:val="2402A666"/>
    <w:lvl w:ilvl="0" w:tplc="F50A20E6">
      <w:start w:val="1"/>
      <w:numFmt w:val="bullet"/>
      <w:lvlText w:val="·"/>
      <w:lvlJc w:val="left"/>
      <w:pPr>
        <w:tabs>
          <w:tab w:val="num" w:pos="360"/>
        </w:tabs>
        <w:ind w:left="360" w:hanging="360"/>
      </w:pPr>
      <w:rPr>
        <w:rFonts w:ascii="Symbol" w:hAnsi="Symbol" w:hint="default"/>
        <w:color w:val="000000"/>
      </w:rPr>
    </w:lvl>
    <w:lvl w:ilvl="1" w:tplc="834A25AC" w:tentative="1">
      <w:start w:val="1"/>
      <w:numFmt w:val="bullet"/>
      <w:lvlText w:val="·"/>
      <w:lvlJc w:val="left"/>
      <w:pPr>
        <w:tabs>
          <w:tab w:val="num" w:pos="1440"/>
        </w:tabs>
        <w:ind w:left="1440" w:hanging="360"/>
      </w:pPr>
      <w:rPr>
        <w:rFonts w:ascii="Symbol" w:hAnsi="Symbol" w:hint="default"/>
      </w:rPr>
    </w:lvl>
    <w:lvl w:ilvl="2" w:tplc="A18ACCAA" w:tentative="1">
      <w:start w:val="1"/>
      <w:numFmt w:val="bullet"/>
      <w:lvlText w:val="·"/>
      <w:lvlJc w:val="left"/>
      <w:pPr>
        <w:tabs>
          <w:tab w:val="num" w:pos="2160"/>
        </w:tabs>
        <w:ind w:left="2160" w:hanging="360"/>
      </w:pPr>
      <w:rPr>
        <w:rFonts w:ascii="Symbol" w:hAnsi="Symbol" w:hint="default"/>
      </w:rPr>
    </w:lvl>
    <w:lvl w:ilvl="3" w:tplc="44DC1062" w:tentative="1">
      <w:start w:val="1"/>
      <w:numFmt w:val="bullet"/>
      <w:lvlText w:val="·"/>
      <w:lvlJc w:val="left"/>
      <w:pPr>
        <w:tabs>
          <w:tab w:val="num" w:pos="2880"/>
        </w:tabs>
        <w:ind w:left="2880" w:hanging="360"/>
      </w:pPr>
      <w:rPr>
        <w:rFonts w:ascii="Symbol" w:hAnsi="Symbol" w:hint="default"/>
      </w:rPr>
    </w:lvl>
    <w:lvl w:ilvl="4" w:tplc="D0E4695E" w:tentative="1">
      <w:start w:val="1"/>
      <w:numFmt w:val="bullet"/>
      <w:lvlText w:val="o"/>
      <w:lvlJc w:val="left"/>
      <w:pPr>
        <w:tabs>
          <w:tab w:val="num" w:pos="3600"/>
        </w:tabs>
        <w:ind w:left="3600" w:hanging="360"/>
      </w:pPr>
      <w:rPr>
        <w:rFonts w:ascii="Courier New" w:hAnsi="Courier New" w:hint="default"/>
      </w:rPr>
    </w:lvl>
    <w:lvl w:ilvl="5" w:tplc="CC86B2C8" w:tentative="1">
      <w:start w:val="1"/>
      <w:numFmt w:val="bullet"/>
      <w:lvlText w:val="§"/>
      <w:lvlJc w:val="left"/>
      <w:pPr>
        <w:tabs>
          <w:tab w:val="num" w:pos="4320"/>
        </w:tabs>
        <w:ind w:left="4320" w:hanging="360"/>
      </w:pPr>
      <w:rPr>
        <w:rFonts w:ascii="Wingdings" w:hAnsi="Wingdings" w:hint="default"/>
      </w:rPr>
    </w:lvl>
    <w:lvl w:ilvl="6" w:tplc="537E64CE" w:tentative="1">
      <w:start w:val="1"/>
      <w:numFmt w:val="bullet"/>
      <w:lvlText w:val="·"/>
      <w:lvlJc w:val="left"/>
      <w:pPr>
        <w:tabs>
          <w:tab w:val="num" w:pos="5040"/>
        </w:tabs>
        <w:ind w:left="5040" w:hanging="360"/>
      </w:pPr>
      <w:rPr>
        <w:rFonts w:ascii="Symbol" w:hAnsi="Symbol" w:hint="default"/>
      </w:rPr>
    </w:lvl>
    <w:lvl w:ilvl="7" w:tplc="98BE1D38" w:tentative="1">
      <w:start w:val="1"/>
      <w:numFmt w:val="bullet"/>
      <w:lvlText w:val="o"/>
      <w:lvlJc w:val="left"/>
      <w:pPr>
        <w:tabs>
          <w:tab w:val="num" w:pos="5760"/>
        </w:tabs>
        <w:ind w:left="5760" w:hanging="360"/>
      </w:pPr>
      <w:rPr>
        <w:rFonts w:ascii="Courier New" w:hAnsi="Courier New" w:hint="default"/>
      </w:rPr>
    </w:lvl>
    <w:lvl w:ilvl="8" w:tplc="72824E8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DF4683"/>
    <w:multiLevelType w:val="multilevel"/>
    <w:tmpl w:val="DD28FDF4"/>
    <w:lvl w:ilvl="0">
      <w:start w:val="1"/>
      <w:numFmt w:val="none"/>
      <w:lvlText w:val="%1"/>
      <w:lvlJc w:val="left"/>
      <w:pPr>
        <w:tabs>
          <w:tab w:val="num" w:pos="720"/>
        </w:tabs>
        <w:ind w:left="720" w:hanging="720"/>
      </w:pPr>
      <w:rPr>
        <w:rFonts w:hint="default"/>
        <w:color w:val="000000"/>
      </w:rPr>
    </w:lvl>
    <w:lvl w:ilvl="1">
      <w:start w:val="1"/>
      <w:numFmt w:val="lowerLett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EBE30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20E533A"/>
    <w:multiLevelType w:val="hybridMultilevel"/>
    <w:tmpl w:val="29143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2E103F1"/>
    <w:multiLevelType w:val="hybridMultilevel"/>
    <w:tmpl w:val="DBAE2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5D30113"/>
    <w:multiLevelType w:val="multilevel"/>
    <w:tmpl w:val="F6CA2D6E"/>
    <w:name w:val="CV_Bullet"/>
    <w:lvl w:ilvl="0">
      <w:start w:val="1"/>
      <w:numFmt w:val="bullet"/>
      <w:lvlText w:val="·"/>
      <w:lvlJc w:val="left"/>
      <w:pPr>
        <w:tabs>
          <w:tab w:val="num" w:pos="360"/>
        </w:tabs>
        <w:ind w:left="360" w:hanging="360"/>
      </w:pPr>
      <w:rPr>
        <w:rFonts w:ascii="Symbol" w:hAnsi="Symbol" w:hint="default"/>
        <w:b w:val="0"/>
        <w:color w:val="auto"/>
        <w:sz w:val="22"/>
      </w:rPr>
    </w:lvl>
    <w:lvl w:ilvl="1">
      <w:start w:val="1"/>
      <w:numFmt w:val="none"/>
      <w:lvlText w:val="-"/>
      <w:lvlJc w:val="left"/>
      <w:pPr>
        <w:tabs>
          <w:tab w:val="num" w:pos="720"/>
        </w:tabs>
        <w:ind w:left="720" w:hanging="360"/>
      </w:pPr>
      <w:rPr>
        <w:rFonts w:hint="default"/>
        <w:b w:val="0"/>
        <w:color w:val="auto"/>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0" w15:restartNumberingAfterBreak="0">
    <w:nsid w:val="76B301EA"/>
    <w:multiLevelType w:val="hybridMultilevel"/>
    <w:tmpl w:val="2C0A0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71777AD"/>
    <w:multiLevelType w:val="multilevel"/>
    <w:tmpl w:val="019C28B4"/>
    <w:lvl w:ilvl="0">
      <w:start w:val="1"/>
      <w:numFmt w:val="decimal"/>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7C33B3E"/>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63" w15:restartNumberingAfterBreak="0">
    <w:nsid w:val="7A6F42AD"/>
    <w:multiLevelType w:val="hybridMultilevel"/>
    <w:tmpl w:val="A216C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7B681852"/>
    <w:multiLevelType w:val="hybridMultilevel"/>
    <w:tmpl w:val="591E29AE"/>
    <w:lvl w:ilvl="0" w:tplc="544AF53A">
      <w:start w:val="1"/>
      <w:numFmt w:val="bullet"/>
      <w:lvlText w:val=""/>
      <w:lvlJc w:val="left"/>
      <w:pPr>
        <w:ind w:left="1440" w:hanging="360"/>
      </w:pPr>
      <w:rPr>
        <w:rFonts w:ascii="Symbol" w:hAnsi="Symbol"/>
      </w:rPr>
    </w:lvl>
    <w:lvl w:ilvl="1" w:tplc="5A0A90B4">
      <w:start w:val="1"/>
      <w:numFmt w:val="bullet"/>
      <w:lvlText w:val=""/>
      <w:lvlJc w:val="left"/>
      <w:pPr>
        <w:ind w:left="1440" w:hanging="360"/>
      </w:pPr>
      <w:rPr>
        <w:rFonts w:ascii="Symbol" w:hAnsi="Symbol"/>
      </w:rPr>
    </w:lvl>
    <w:lvl w:ilvl="2" w:tplc="BD9C93DA">
      <w:start w:val="1"/>
      <w:numFmt w:val="bullet"/>
      <w:lvlText w:val=""/>
      <w:lvlJc w:val="left"/>
      <w:pPr>
        <w:ind w:left="1440" w:hanging="360"/>
      </w:pPr>
      <w:rPr>
        <w:rFonts w:ascii="Symbol" w:hAnsi="Symbol"/>
      </w:rPr>
    </w:lvl>
    <w:lvl w:ilvl="3" w:tplc="91C26C62">
      <w:start w:val="1"/>
      <w:numFmt w:val="bullet"/>
      <w:lvlText w:val=""/>
      <w:lvlJc w:val="left"/>
      <w:pPr>
        <w:ind w:left="1440" w:hanging="360"/>
      </w:pPr>
      <w:rPr>
        <w:rFonts w:ascii="Symbol" w:hAnsi="Symbol"/>
      </w:rPr>
    </w:lvl>
    <w:lvl w:ilvl="4" w:tplc="5DA4BD28">
      <w:start w:val="1"/>
      <w:numFmt w:val="bullet"/>
      <w:lvlText w:val=""/>
      <w:lvlJc w:val="left"/>
      <w:pPr>
        <w:ind w:left="1440" w:hanging="360"/>
      </w:pPr>
      <w:rPr>
        <w:rFonts w:ascii="Symbol" w:hAnsi="Symbol"/>
      </w:rPr>
    </w:lvl>
    <w:lvl w:ilvl="5" w:tplc="2638B4A6">
      <w:start w:val="1"/>
      <w:numFmt w:val="bullet"/>
      <w:lvlText w:val=""/>
      <w:lvlJc w:val="left"/>
      <w:pPr>
        <w:ind w:left="1440" w:hanging="360"/>
      </w:pPr>
      <w:rPr>
        <w:rFonts w:ascii="Symbol" w:hAnsi="Symbol"/>
      </w:rPr>
    </w:lvl>
    <w:lvl w:ilvl="6" w:tplc="F164387A">
      <w:start w:val="1"/>
      <w:numFmt w:val="bullet"/>
      <w:lvlText w:val=""/>
      <w:lvlJc w:val="left"/>
      <w:pPr>
        <w:ind w:left="1440" w:hanging="360"/>
      </w:pPr>
      <w:rPr>
        <w:rFonts w:ascii="Symbol" w:hAnsi="Symbol"/>
      </w:rPr>
    </w:lvl>
    <w:lvl w:ilvl="7" w:tplc="04EC410A">
      <w:start w:val="1"/>
      <w:numFmt w:val="bullet"/>
      <w:lvlText w:val=""/>
      <w:lvlJc w:val="left"/>
      <w:pPr>
        <w:ind w:left="1440" w:hanging="360"/>
      </w:pPr>
      <w:rPr>
        <w:rFonts w:ascii="Symbol" w:hAnsi="Symbol"/>
      </w:rPr>
    </w:lvl>
    <w:lvl w:ilvl="8" w:tplc="75664A98">
      <w:start w:val="1"/>
      <w:numFmt w:val="bullet"/>
      <w:lvlText w:val=""/>
      <w:lvlJc w:val="left"/>
      <w:pPr>
        <w:ind w:left="1440" w:hanging="360"/>
      </w:pPr>
      <w:rPr>
        <w:rFonts w:ascii="Symbol" w:hAnsi="Symbol"/>
      </w:rPr>
    </w:lvl>
  </w:abstractNum>
  <w:abstractNum w:abstractNumId="65" w15:restartNumberingAfterBreak="0">
    <w:nsid w:val="7B943FBB"/>
    <w:multiLevelType w:val="multilevel"/>
    <w:tmpl w:val="38CAE51A"/>
    <w:name w:val="Defininitions"/>
    <w:lvl w:ilvl="0">
      <w:start w:val="1"/>
      <w:numFmt w:val="none"/>
      <w:suff w:val="nothing"/>
      <w:lvlText w:val=""/>
      <w:lvlJc w:val="left"/>
      <w:pPr>
        <w:ind w:left="720" w:firstLine="0"/>
      </w:pPr>
      <w:rPr>
        <w:rFonts w:ascii="Calibri" w:hAnsi="Calibri" w:hint="default"/>
        <w:b w:val="0"/>
        <w:sz w:val="22"/>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left"/>
      <w:pPr>
        <w:tabs>
          <w:tab w:val="num" w:pos="2160"/>
        </w:tabs>
        <w:ind w:left="2160" w:hanging="720"/>
      </w:pPr>
      <w:rPr>
        <w:rFonts w:ascii="Arial" w:hAnsi="Arial" w:hint="default"/>
        <w:b w:val="0"/>
        <w:sz w:val="20"/>
      </w:rPr>
    </w:lvl>
    <w:lvl w:ilvl="3">
      <w:start w:val="1"/>
      <w:numFmt w:val="upperLetter"/>
      <w:lvlText w:val="(%1%4)"/>
      <w:lvlJc w:val="left"/>
      <w:pPr>
        <w:tabs>
          <w:tab w:val="num" w:pos="2880"/>
        </w:tabs>
        <w:ind w:left="2880" w:hanging="720"/>
      </w:pPr>
      <w:rPr>
        <w:rFonts w:ascii="Arial" w:hAnsi="Arial" w:hint="default"/>
        <w:b w:val="0"/>
        <w:sz w:val="20"/>
      </w:rPr>
    </w:lvl>
    <w:lvl w:ilvl="4">
      <w:start w:val="1"/>
      <w:numFmt w:val="decimal"/>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16cid:durableId="1646662123">
    <w:abstractNumId w:val="52"/>
  </w:num>
  <w:num w:numId="2" w16cid:durableId="1951357523">
    <w:abstractNumId w:val="54"/>
  </w:num>
  <w:num w:numId="3" w16cid:durableId="694381030">
    <w:abstractNumId w:val="61"/>
  </w:num>
  <w:num w:numId="4" w16cid:durableId="1000621215">
    <w:abstractNumId w:val="13"/>
  </w:num>
  <w:num w:numId="5" w16cid:durableId="116140351">
    <w:abstractNumId w:val="28"/>
  </w:num>
  <w:num w:numId="6" w16cid:durableId="492644917">
    <w:abstractNumId w:val="25"/>
  </w:num>
  <w:num w:numId="7" w16cid:durableId="348677740">
    <w:abstractNumId w:val="16"/>
  </w:num>
  <w:num w:numId="8" w16cid:durableId="1363625735">
    <w:abstractNumId w:val="15"/>
  </w:num>
  <w:num w:numId="9" w16cid:durableId="531265802">
    <w:abstractNumId w:val="43"/>
  </w:num>
  <w:num w:numId="10" w16cid:durableId="1638955351">
    <w:abstractNumId w:val="49"/>
  </w:num>
  <w:num w:numId="11" w16cid:durableId="17584727">
    <w:abstractNumId w:val="30"/>
  </w:num>
  <w:num w:numId="12" w16cid:durableId="653949722">
    <w:abstractNumId w:val="38"/>
  </w:num>
  <w:num w:numId="13" w16cid:durableId="181016004">
    <w:abstractNumId w:val="36"/>
  </w:num>
  <w:num w:numId="14" w16cid:durableId="1704283444">
    <w:abstractNumId w:val="37"/>
  </w:num>
  <w:num w:numId="15" w16cid:durableId="1881429926">
    <w:abstractNumId w:val="35"/>
  </w:num>
  <w:num w:numId="16" w16cid:durableId="767427344">
    <w:abstractNumId w:val="21"/>
  </w:num>
  <w:num w:numId="17" w16cid:durableId="885332854">
    <w:abstractNumId w:val="50"/>
  </w:num>
  <w:num w:numId="18" w16cid:durableId="331497338">
    <w:abstractNumId w:val="3"/>
  </w:num>
  <w:num w:numId="19" w16cid:durableId="272202702">
    <w:abstractNumId w:val="4"/>
  </w:num>
  <w:num w:numId="20" w16cid:durableId="1191723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721385">
    <w:abstractNumId w:val="55"/>
  </w:num>
  <w:num w:numId="22" w16cid:durableId="705831740">
    <w:abstractNumId w:val="62"/>
  </w:num>
  <w:num w:numId="23" w16cid:durableId="375547231">
    <w:abstractNumId w:val="34"/>
  </w:num>
  <w:num w:numId="24" w16cid:durableId="1728527698">
    <w:abstractNumId w:val="65"/>
  </w:num>
  <w:num w:numId="25" w16cid:durableId="619460715">
    <w:abstractNumId w:val="27"/>
  </w:num>
  <w:num w:numId="26" w16cid:durableId="1730154786">
    <w:abstractNumId w:val="33"/>
  </w:num>
  <w:num w:numId="27" w16cid:durableId="1322004511">
    <w:abstractNumId w:val="31"/>
  </w:num>
  <w:num w:numId="28" w16cid:durableId="866680680">
    <w:abstractNumId w:val="41"/>
  </w:num>
  <w:num w:numId="29" w16cid:durableId="205221116">
    <w:abstractNumId w:val="47"/>
  </w:num>
  <w:num w:numId="30" w16cid:durableId="2137986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7314582">
    <w:abstractNumId w:val="0"/>
  </w:num>
  <w:num w:numId="32" w16cid:durableId="846792117">
    <w:abstractNumId w:val="7"/>
  </w:num>
  <w:num w:numId="33" w16cid:durableId="335812118">
    <w:abstractNumId w:val="9"/>
  </w:num>
  <w:num w:numId="34" w16cid:durableId="2010330407">
    <w:abstractNumId w:val="59"/>
  </w:num>
  <w:num w:numId="35" w16cid:durableId="15156131">
    <w:abstractNumId w:val="6"/>
  </w:num>
  <w:num w:numId="36" w16cid:durableId="171990427">
    <w:abstractNumId w:val="48"/>
  </w:num>
  <w:num w:numId="37" w16cid:durableId="994526584">
    <w:abstractNumId w:val="20"/>
  </w:num>
  <w:num w:numId="38" w16cid:durableId="142427797">
    <w:abstractNumId w:val="11"/>
  </w:num>
  <w:num w:numId="39" w16cid:durableId="953750249">
    <w:abstractNumId w:val="2"/>
  </w:num>
  <w:num w:numId="40" w16cid:durableId="1852912742">
    <w:abstractNumId w:val="40"/>
  </w:num>
  <w:num w:numId="41" w16cid:durableId="1244605313">
    <w:abstractNumId w:val="56"/>
  </w:num>
  <w:num w:numId="42" w16cid:durableId="1654481338">
    <w:abstractNumId w:val="14"/>
  </w:num>
  <w:num w:numId="43" w16cid:durableId="1482961623">
    <w:abstractNumId w:val="5"/>
  </w:num>
  <w:num w:numId="44" w16cid:durableId="1028143512">
    <w:abstractNumId w:val="22"/>
  </w:num>
  <w:num w:numId="45" w16cid:durableId="1638874889">
    <w:abstractNumId w:val="63"/>
  </w:num>
  <w:num w:numId="46" w16cid:durableId="1682077371">
    <w:abstractNumId w:val="26"/>
  </w:num>
  <w:num w:numId="47" w16cid:durableId="1978215285">
    <w:abstractNumId w:val="57"/>
  </w:num>
  <w:num w:numId="48" w16cid:durableId="1959096740">
    <w:abstractNumId w:val="8"/>
  </w:num>
  <w:num w:numId="49" w16cid:durableId="1935478882">
    <w:abstractNumId w:val="12"/>
  </w:num>
  <w:num w:numId="50" w16cid:durableId="892272917">
    <w:abstractNumId w:val="17"/>
  </w:num>
  <w:num w:numId="51" w16cid:durableId="518353478">
    <w:abstractNumId w:val="29"/>
  </w:num>
  <w:num w:numId="52" w16cid:durableId="930502253">
    <w:abstractNumId w:val="45"/>
  </w:num>
  <w:num w:numId="53" w16cid:durableId="711809869">
    <w:abstractNumId w:val="23"/>
  </w:num>
  <w:num w:numId="54" w16cid:durableId="511071821">
    <w:abstractNumId w:val="39"/>
  </w:num>
  <w:num w:numId="55" w16cid:durableId="1779527115">
    <w:abstractNumId w:val="46"/>
  </w:num>
  <w:num w:numId="56" w16cid:durableId="571087608">
    <w:abstractNumId w:val="51"/>
  </w:num>
  <w:num w:numId="57" w16cid:durableId="1061322257">
    <w:abstractNumId w:val="58"/>
  </w:num>
  <w:num w:numId="58" w16cid:durableId="1267348673">
    <w:abstractNumId w:val="19"/>
  </w:num>
  <w:num w:numId="59" w16cid:durableId="821581374">
    <w:abstractNumId w:val="53"/>
  </w:num>
  <w:num w:numId="60" w16cid:durableId="421680841">
    <w:abstractNumId w:val="60"/>
  </w:num>
  <w:num w:numId="61" w16cid:durableId="1176265078">
    <w:abstractNumId w:val="32"/>
  </w:num>
  <w:num w:numId="62" w16cid:durableId="102653937">
    <w:abstractNumId w:val="10"/>
  </w:num>
  <w:num w:numId="63" w16cid:durableId="232350046">
    <w:abstractNumId w:val="64"/>
  </w:num>
  <w:num w:numId="64" w16cid:durableId="23139295">
    <w:abstractNumId w:val="24"/>
  </w:num>
  <w:num w:numId="65" w16cid:durableId="2141416739">
    <w:abstractNumId w:val="44"/>
  </w:num>
  <w:num w:numId="66" w16cid:durableId="879319161">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DDFAE056-3272-4CD6-9FC4-20D9502D709C}"/>
  </w:docVars>
  <w:rsids>
    <w:rsidRoot w:val="00AF2805"/>
    <w:rsid w:val="0000068A"/>
    <w:rsid w:val="0002203E"/>
    <w:rsid w:val="00025D30"/>
    <w:rsid w:val="000337B1"/>
    <w:rsid w:val="00037B1F"/>
    <w:rsid w:val="00051E8E"/>
    <w:rsid w:val="00052E4E"/>
    <w:rsid w:val="00057459"/>
    <w:rsid w:val="0006310A"/>
    <w:rsid w:val="00066E33"/>
    <w:rsid w:val="00094999"/>
    <w:rsid w:val="000A2FA0"/>
    <w:rsid w:val="000B3629"/>
    <w:rsid w:val="000C6899"/>
    <w:rsid w:val="000D4F46"/>
    <w:rsid w:val="000D5F73"/>
    <w:rsid w:val="000E09AD"/>
    <w:rsid w:val="000F3F79"/>
    <w:rsid w:val="000F41D4"/>
    <w:rsid w:val="0013768A"/>
    <w:rsid w:val="00146290"/>
    <w:rsid w:val="00146603"/>
    <w:rsid w:val="001469D6"/>
    <w:rsid w:val="001774CE"/>
    <w:rsid w:val="00182205"/>
    <w:rsid w:val="00184D58"/>
    <w:rsid w:val="00196D2C"/>
    <w:rsid w:val="001B71FC"/>
    <w:rsid w:val="001C0813"/>
    <w:rsid w:val="001C7099"/>
    <w:rsid w:val="001E4BDD"/>
    <w:rsid w:val="001F0BD7"/>
    <w:rsid w:val="001F14DE"/>
    <w:rsid w:val="001F1681"/>
    <w:rsid w:val="00223AE7"/>
    <w:rsid w:val="0022417C"/>
    <w:rsid w:val="002241EA"/>
    <w:rsid w:val="002305EE"/>
    <w:rsid w:val="0025217D"/>
    <w:rsid w:val="00254C02"/>
    <w:rsid w:val="002634C9"/>
    <w:rsid w:val="00297122"/>
    <w:rsid w:val="002A5A5F"/>
    <w:rsid w:val="002B50CD"/>
    <w:rsid w:val="002C5C8D"/>
    <w:rsid w:val="002D4530"/>
    <w:rsid w:val="002D6493"/>
    <w:rsid w:val="002E27E8"/>
    <w:rsid w:val="002E2E82"/>
    <w:rsid w:val="002E33F5"/>
    <w:rsid w:val="002F20C0"/>
    <w:rsid w:val="00301A11"/>
    <w:rsid w:val="00311C46"/>
    <w:rsid w:val="00312420"/>
    <w:rsid w:val="00315D81"/>
    <w:rsid w:val="003360AF"/>
    <w:rsid w:val="0033777F"/>
    <w:rsid w:val="0034723E"/>
    <w:rsid w:val="00347DC9"/>
    <w:rsid w:val="0035568F"/>
    <w:rsid w:val="00360608"/>
    <w:rsid w:val="00375D65"/>
    <w:rsid w:val="00381943"/>
    <w:rsid w:val="003839A1"/>
    <w:rsid w:val="00385915"/>
    <w:rsid w:val="00387ADC"/>
    <w:rsid w:val="003951EE"/>
    <w:rsid w:val="003A0004"/>
    <w:rsid w:val="003A38EC"/>
    <w:rsid w:val="003B64BA"/>
    <w:rsid w:val="003D2198"/>
    <w:rsid w:val="003E008C"/>
    <w:rsid w:val="003E1B54"/>
    <w:rsid w:val="003E5056"/>
    <w:rsid w:val="003F4D7C"/>
    <w:rsid w:val="003F6824"/>
    <w:rsid w:val="00403825"/>
    <w:rsid w:val="00406ACD"/>
    <w:rsid w:val="004073DB"/>
    <w:rsid w:val="00411F22"/>
    <w:rsid w:val="00412C96"/>
    <w:rsid w:val="004322BE"/>
    <w:rsid w:val="004523FB"/>
    <w:rsid w:val="00452635"/>
    <w:rsid w:val="00497C78"/>
    <w:rsid w:val="004A6B7E"/>
    <w:rsid w:val="004D255F"/>
    <w:rsid w:val="004D2D5A"/>
    <w:rsid w:val="004E0802"/>
    <w:rsid w:val="005039C7"/>
    <w:rsid w:val="00513431"/>
    <w:rsid w:val="0051695D"/>
    <w:rsid w:val="0052640A"/>
    <w:rsid w:val="00544398"/>
    <w:rsid w:val="00545A33"/>
    <w:rsid w:val="00553B86"/>
    <w:rsid w:val="00557688"/>
    <w:rsid w:val="00571989"/>
    <w:rsid w:val="00577623"/>
    <w:rsid w:val="005A4337"/>
    <w:rsid w:val="005A4413"/>
    <w:rsid w:val="005B39FE"/>
    <w:rsid w:val="005E3A7F"/>
    <w:rsid w:val="005F2DA6"/>
    <w:rsid w:val="00606D54"/>
    <w:rsid w:val="00614EEA"/>
    <w:rsid w:val="00615149"/>
    <w:rsid w:val="00616842"/>
    <w:rsid w:val="006278FB"/>
    <w:rsid w:val="0063201D"/>
    <w:rsid w:val="00635DA7"/>
    <w:rsid w:val="00652A21"/>
    <w:rsid w:val="00666357"/>
    <w:rsid w:val="00674D26"/>
    <w:rsid w:val="00685B49"/>
    <w:rsid w:val="006A2C16"/>
    <w:rsid w:val="006B4D82"/>
    <w:rsid w:val="006E1FF4"/>
    <w:rsid w:val="006F6419"/>
    <w:rsid w:val="00702FC4"/>
    <w:rsid w:val="00707DE1"/>
    <w:rsid w:val="00710321"/>
    <w:rsid w:val="00715964"/>
    <w:rsid w:val="00720E81"/>
    <w:rsid w:val="00727218"/>
    <w:rsid w:val="00743C44"/>
    <w:rsid w:val="007535A6"/>
    <w:rsid w:val="00757F33"/>
    <w:rsid w:val="00760F8A"/>
    <w:rsid w:val="00761E21"/>
    <w:rsid w:val="007A2C24"/>
    <w:rsid w:val="007B1EA4"/>
    <w:rsid w:val="007C3F90"/>
    <w:rsid w:val="007D4911"/>
    <w:rsid w:val="007D5574"/>
    <w:rsid w:val="007D5D1E"/>
    <w:rsid w:val="007E5664"/>
    <w:rsid w:val="007F4C99"/>
    <w:rsid w:val="007F66D3"/>
    <w:rsid w:val="00803400"/>
    <w:rsid w:val="00835EB0"/>
    <w:rsid w:val="00844E7E"/>
    <w:rsid w:val="00855361"/>
    <w:rsid w:val="00862D54"/>
    <w:rsid w:val="00872703"/>
    <w:rsid w:val="00881871"/>
    <w:rsid w:val="00885632"/>
    <w:rsid w:val="008A3329"/>
    <w:rsid w:val="008B0184"/>
    <w:rsid w:val="008B57E7"/>
    <w:rsid w:val="008C34BC"/>
    <w:rsid w:val="008D1E7B"/>
    <w:rsid w:val="008E633C"/>
    <w:rsid w:val="008E639B"/>
    <w:rsid w:val="008F2A76"/>
    <w:rsid w:val="00916ABD"/>
    <w:rsid w:val="00923BE4"/>
    <w:rsid w:val="00933333"/>
    <w:rsid w:val="009542FE"/>
    <w:rsid w:val="009612F0"/>
    <w:rsid w:val="00966D0A"/>
    <w:rsid w:val="009710B8"/>
    <w:rsid w:val="00982C43"/>
    <w:rsid w:val="009860DF"/>
    <w:rsid w:val="00995BED"/>
    <w:rsid w:val="009C7C70"/>
    <w:rsid w:val="009E0495"/>
    <w:rsid w:val="009F5EBD"/>
    <w:rsid w:val="00A1771C"/>
    <w:rsid w:val="00A26DC4"/>
    <w:rsid w:val="00A4427B"/>
    <w:rsid w:val="00A5403F"/>
    <w:rsid w:val="00A60CE6"/>
    <w:rsid w:val="00A9488C"/>
    <w:rsid w:val="00AA0EF3"/>
    <w:rsid w:val="00AA1C3E"/>
    <w:rsid w:val="00AA33F2"/>
    <w:rsid w:val="00AB6B99"/>
    <w:rsid w:val="00AC1E42"/>
    <w:rsid w:val="00AE071B"/>
    <w:rsid w:val="00AE2927"/>
    <w:rsid w:val="00AE47B6"/>
    <w:rsid w:val="00AE544D"/>
    <w:rsid w:val="00AF2805"/>
    <w:rsid w:val="00AF2F3D"/>
    <w:rsid w:val="00B0230A"/>
    <w:rsid w:val="00B0407E"/>
    <w:rsid w:val="00B05B42"/>
    <w:rsid w:val="00B452FB"/>
    <w:rsid w:val="00B468C9"/>
    <w:rsid w:val="00B70070"/>
    <w:rsid w:val="00B8338D"/>
    <w:rsid w:val="00BA0136"/>
    <w:rsid w:val="00BA302D"/>
    <w:rsid w:val="00BA3035"/>
    <w:rsid w:val="00BA5735"/>
    <w:rsid w:val="00BB0346"/>
    <w:rsid w:val="00BB4887"/>
    <w:rsid w:val="00BB638E"/>
    <w:rsid w:val="00BD04AD"/>
    <w:rsid w:val="00BD3A7F"/>
    <w:rsid w:val="00BE0A96"/>
    <w:rsid w:val="00BF626D"/>
    <w:rsid w:val="00C07459"/>
    <w:rsid w:val="00C137FC"/>
    <w:rsid w:val="00C17F58"/>
    <w:rsid w:val="00C20E55"/>
    <w:rsid w:val="00C3166A"/>
    <w:rsid w:val="00C35F36"/>
    <w:rsid w:val="00C36B1E"/>
    <w:rsid w:val="00C43352"/>
    <w:rsid w:val="00C45054"/>
    <w:rsid w:val="00C56960"/>
    <w:rsid w:val="00C61B26"/>
    <w:rsid w:val="00C7004E"/>
    <w:rsid w:val="00C75ACF"/>
    <w:rsid w:val="00C85437"/>
    <w:rsid w:val="00C87718"/>
    <w:rsid w:val="00C953F7"/>
    <w:rsid w:val="00C95AB3"/>
    <w:rsid w:val="00CA1A98"/>
    <w:rsid w:val="00CA3A05"/>
    <w:rsid w:val="00CC3E75"/>
    <w:rsid w:val="00CC4DD5"/>
    <w:rsid w:val="00CD2169"/>
    <w:rsid w:val="00CD4545"/>
    <w:rsid w:val="00CE0CFE"/>
    <w:rsid w:val="00CE0EE6"/>
    <w:rsid w:val="00CF66A8"/>
    <w:rsid w:val="00CF6CD2"/>
    <w:rsid w:val="00D034E0"/>
    <w:rsid w:val="00D05446"/>
    <w:rsid w:val="00D059CF"/>
    <w:rsid w:val="00D06780"/>
    <w:rsid w:val="00D07995"/>
    <w:rsid w:val="00D20C6B"/>
    <w:rsid w:val="00D43B7B"/>
    <w:rsid w:val="00D46FB5"/>
    <w:rsid w:val="00D61C59"/>
    <w:rsid w:val="00D7703B"/>
    <w:rsid w:val="00D826DD"/>
    <w:rsid w:val="00D94E6D"/>
    <w:rsid w:val="00DA04F7"/>
    <w:rsid w:val="00DA147D"/>
    <w:rsid w:val="00DA351E"/>
    <w:rsid w:val="00DB0ABB"/>
    <w:rsid w:val="00DE1558"/>
    <w:rsid w:val="00DF62FB"/>
    <w:rsid w:val="00DF6E04"/>
    <w:rsid w:val="00DF7F86"/>
    <w:rsid w:val="00E0107C"/>
    <w:rsid w:val="00E0722D"/>
    <w:rsid w:val="00E07C43"/>
    <w:rsid w:val="00E107BF"/>
    <w:rsid w:val="00E12166"/>
    <w:rsid w:val="00E34A7C"/>
    <w:rsid w:val="00E40761"/>
    <w:rsid w:val="00E43FAE"/>
    <w:rsid w:val="00E4582A"/>
    <w:rsid w:val="00E54843"/>
    <w:rsid w:val="00E77146"/>
    <w:rsid w:val="00E866CD"/>
    <w:rsid w:val="00E95BB1"/>
    <w:rsid w:val="00EB2303"/>
    <w:rsid w:val="00EB2500"/>
    <w:rsid w:val="00EB6A57"/>
    <w:rsid w:val="00EB7245"/>
    <w:rsid w:val="00EC1A1A"/>
    <w:rsid w:val="00EC4449"/>
    <w:rsid w:val="00EC6226"/>
    <w:rsid w:val="00EF5610"/>
    <w:rsid w:val="00F00E19"/>
    <w:rsid w:val="00F23529"/>
    <w:rsid w:val="00F514B9"/>
    <w:rsid w:val="00F52FB9"/>
    <w:rsid w:val="00F60A0D"/>
    <w:rsid w:val="00F719FD"/>
    <w:rsid w:val="00F771B0"/>
    <w:rsid w:val="00FA10B1"/>
    <w:rsid w:val="00FB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5F1A"/>
  <w15:docId w15:val="{B8A87EE6-D3F8-4077-8BCB-1B331307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9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99"/>
    <w:lsdException w:name="Grid Table 5 Dark Accent 1" w:uiPriority="99"/>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9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9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99"/>
    <w:lsdException w:name="Grid Table 5 Dark Accent 4" w:uiPriority="99"/>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9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9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uiPriority="99"/>
    <w:lsdException w:name="Smart Hyperlink" w:uiPriority="99"/>
    <w:lsdException w:name="Hashtag" w:uiPriority="99"/>
    <w:lsdException w:name="Unresolved Mention" w:uiPriority="99"/>
    <w:lsdException w:name="Smart Link" w:uiPriority="99"/>
  </w:latentStyles>
  <w:style w:type="paragraph" w:default="1" w:styleId="Normal">
    <w:name w:val="Normal"/>
    <w:qFormat/>
    <w:rsid w:val="003E1B54"/>
    <w:pPr>
      <w:spacing w:after="160" w:line="259" w:lineRule="auto"/>
    </w:pPr>
    <w:rPr>
      <w:rFonts w:eastAsiaTheme="minorHAnsi"/>
      <w:kern w:val="2"/>
      <w:lang w:eastAsia="en-US"/>
      <w14:ligatures w14:val="standardContextual"/>
    </w:rPr>
  </w:style>
  <w:style w:type="paragraph" w:styleId="Heading1">
    <w:name w:val="heading 1"/>
    <w:basedOn w:val="Normal"/>
    <w:next w:val="Normal"/>
    <w:link w:val="Heading1Char"/>
    <w:rsid w:val="008C34BC"/>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unhideWhenUsed/>
    <w:qFormat/>
    <w:rsid w:val="008C34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C34B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52640A"/>
    <w:pPr>
      <w:numPr>
        <w:ilvl w:val="3"/>
        <w:numId w:val="42"/>
      </w:numPr>
      <w:outlineLvl w:val="3"/>
    </w:pPr>
  </w:style>
  <w:style w:type="paragraph" w:styleId="Heading5">
    <w:name w:val="heading 5"/>
    <w:basedOn w:val="Normal"/>
    <w:link w:val="Heading5Char"/>
    <w:qFormat/>
    <w:rsid w:val="0052640A"/>
    <w:pPr>
      <w:numPr>
        <w:ilvl w:val="4"/>
        <w:numId w:val="42"/>
      </w:numPr>
      <w:tabs>
        <w:tab w:val="num" w:pos="360"/>
      </w:tabs>
      <w:outlineLvl w:val="4"/>
    </w:pPr>
  </w:style>
  <w:style w:type="paragraph" w:styleId="Heading6">
    <w:name w:val="heading 6"/>
    <w:basedOn w:val="Normal"/>
    <w:next w:val="Normal"/>
    <w:link w:val="Heading6Char"/>
    <w:autoRedefine/>
    <w:qFormat/>
    <w:rsid w:val="0052640A"/>
    <w:pPr>
      <w:keepNext/>
      <w:numPr>
        <w:ilvl w:val="5"/>
        <w:numId w:val="42"/>
      </w:numPr>
      <w:tabs>
        <w:tab w:val="num" w:pos="360"/>
      </w:tabs>
      <w:outlineLvl w:val="5"/>
    </w:pPr>
    <w:rPr>
      <w:color w:val="000000"/>
    </w:rPr>
  </w:style>
  <w:style w:type="paragraph" w:styleId="Heading7">
    <w:name w:val="heading 7"/>
    <w:basedOn w:val="Normal"/>
    <w:next w:val="Normal"/>
    <w:link w:val="Heading7Char"/>
    <w:qFormat/>
    <w:rsid w:val="0052640A"/>
    <w:pPr>
      <w:keepNext/>
      <w:numPr>
        <w:ilvl w:val="6"/>
        <w:numId w:val="42"/>
      </w:numPr>
      <w:tabs>
        <w:tab w:val="num" w:pos="360"/>
      </w:tabs>
      <w:outlineLvl w:val="6"/>
    </w:pPr>
    <w:rPr>
      <w:b/>
      <w:color w:val="000000"/>
    </w:rPr>
  </w:style>
  <w:style w:type="paragraph" w:styleId="Heading8">
    <w:name w:val="heading 8"/>
    <w:basedOn w:val="Normal"/>
    <w:next w:val="Normal"/>
    <w:link w:val="Heading8Char"/>
    <w:autoRedefine/>
    <w:qFormat/>
    <w:rsid w:val="0052640A"/>
    <w:pPr>
      <w:keepNext/>
      <w:pageBreakBefore/>
      <w:numPr>
        <w:ilvl w:val="7"/>
        <w:numId w:val="42"/>
      </w:numPr>
      <w:tabs>
        <w:tab w:val="num" w:pos="360"/>
      </w:tabs>
      <w:outlineLvl w:val="7"/>
    </w:pPr>
    <w:rPr>
      <w:b/>
      <w:szCs w:val="28"/>
    </w:rPr>
  </w:style>
  <w:style w:type="paragraph" w:styleId="Heading9">
    <w:name w:val="heading 9"/>
    <w:basedOn w:val="Normal"/>
    <w:link w:val="Heading9Char"/>
    <w:qFormat/>
    <w:rsid w:val="0052640A"/>
    <w:pPr>
      <w:numPr>
        <w:ilvl w:val="8"/>
        <w:numId w:val="42"/>
      </w:num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rsid w:val="003E1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B54"/>
  </w:style>
  <w:style w:type="paragraph" w:styleId="BalloonText">
    <w:name w:val="Balloon Text"/>
    <w:basedOn w:val="Normal"/>
    <w:link w:val="BalloonTextChar"/>
    <w:uiPriority w:val="99"/>
    <w:semiHidden/>
    <w:unhideWhenUsed/>
    <w:rsid w:val="008C34B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34BC"/>
    <w:rPr>
      <w:rFonts w:ascii="Lucida Grande" w:hAnsi="Lucida Grande" w:cs="Lucida Grande"/>
      <w:sz w:val="18"/>
      <w:szCs w:val="18"/>
      <w:lang w:eastAsia="en-US"/>
    </w:rPr>
  </w:style>
  <w:style w:type="paragraph" w:customStyle="1" w:styleId="Bullet2">
    <w:name w:val="Bullet 2"/>
    <w:basedOn w:val="Normal"/>
    <w:link w:val="Bullet2Char"/>
    <w:rsid w:val="008C34BC"/>
    <w:pPr>
      <w:tabs>
        <w:tab w:val="left" w:pos="680"/>
        <w:tab w:val="num" w:pos="814"/>
      </w:tabs>
      <w:ind w:left="680" w:hanging="226"/>
    </w:pPr>
    <w:rPr>
      <w:rFonts w:ascii="Garamond" w:eastAsia="Times New Roman" w:hAnsi="Garamond" w:cs="Times New Roman"/>
      <w:lang w:val="en-US"/>
    </w:rPr>
  </w:style>
  <w:style w:type="character" w:customStyle="1" w:styleId="Bullet2Char">
    <w:name w:val="Bullet 2 Char"/>
    <w:link w:val="Bullet2"/>
    <w:locked/>
    <w:rsid w:val="008C34BC"/>
    <w:rPr>
      <w:rFonts w:ascii="Garamond" w:eastAsia="Times New Roman" w:hAnsi="Garamond" w:cs="Times New Roman"/>
      <w:sz w:val="24"/>
      <w:szCs w:val="24"/>
      <w:lang w:val="en-US" w:eastAsia="en-US"/>
    </w:rPr>
  </w:style>
  <w:style w:type="paragraph" w:customStyle="1" w:styleId="Bulleti">
    <w:name w:val="Bullet i"/>
    <w:basedOn w:val="Normal"/>
    <w:link w:val="BulletiChar"/>
    <w:rsid w:val="008C34BC"/>
    <w:pPr>
      <w:numPr>
        <w:numId w:val="64"/>
      </w:numPr>
      <w:tabs>
        <w:tab w:val="left" w:pos="454"/>
      </w:tabs>
    </w:pPr>
    <w:rPr>
      <w:rFonts w:ascii="Garamond" w:eastAsia="Times New Roman" w:hAnsi="Garamond" w:cs="Times New Roman"/>
      <w:lang w:val="en-US"/>
    </w:rPr>
  </w:style>
  <w:style w:type="character" w:customStyle="1" w:styleId="BulletiChar">
    <w:name w:val="Bullet i Char"/>
    <w:link w:val="Bulleti"/>
    <w:rsid w:val="008C34BC"/>
    <w:rPr>
      <w:rFonts w:ascii="Garamond" w:eastAsia="Times New Roman" w:hAnsi="Garamond" w:cs="Times New Roman"/>
      <w:sz w:val="24"/>
      <w:szCs w:val="24"/>
      <w:lang w:val="en-US" w:eastAsia="en-US"/>
    </w:rPr>
  </w:style>
  <w:style w:type="numbering" w:customStyle="1" w:styleId="CurrentList1">
    <w:name w:val="Current List1"/>
    <w:uiPriority w:val="99"/>
    <w:rsid w:val="008C34BC"/>
    <w:pPr>
      <w:numPr>
        <w:numId w:val="65"/>
      </w:numPr>
    </w:pPr>
  </w:style>
  <w:style w:type="paragraph" w:styleId="Footer">
    <w:name w:val="footer"/>
    <w:basedOn w:val="Normal"/>
    <w:link w:val="FooterChar"/>
    <w:uiPriority w:val="99"/>
    <w:unhideWhenUsed/>
    <w:rsid w:val="008C34BC"/>
    <w:pPr>
      <w:tabs>
        <w:tab w:val="center" w:pos="4320"/>
        <w:tab w:val="right" w:pos="8640"/>
      </w:tabs>
    </w:pPr>
    <w:rPr>
      <w:rFonts w:asciiTheme="majorHAnsi" w:hAnsiTheme="majorHAnsi"/>
    </w:rPr>
  </w:style>
  <w:style w:type="character" w:customStyle="1" w:styleId="FooterChar">
    <w:name w:val="Footer Char"/>
    <w:basedOn w:val="DefaultParagraphFont"/>
    <w:link w:val="Footer"/>
    <w:uiPriority w:val="99"/>
    <w:rsid w:val="008C34BC"/>
    <w:rPr>
      <w:rFonts w:asciiTheme="majorHAnsi" w:hAnsiTheme="majorHAnsi"/>
      <w:sz w:val="24"/>
      <w:szCs w:val="24"/>
      <w:lang w:eastAsia="en-US"/>
    </w:rPr>
  </w:style>
  <w:style w:type="paragraph" w:styleId="Header">
    <w:name w:val="header"/>
    <w:basedOn w:val="Normal"/>
    <w:link w:val="HeaderChar"/>
    <w:uiPriority w:val="99"/>
    <w:unhideWhenUsed/>
    <w:rsid w:val="008C34BC"/>
    <w:pPr>
      <w:tabs>
        <w:tab w:val="center" w:pos="4320"/>
        <w:tab w:val="right" w:pos="8640"/>
      </w:tabs>
    </w:pPr>
  </w:style>
  <w:style w:type="character" w:customStyle="1" w:styleId="HeaderChar">
    <w:name w:val="Header Char"/>
    <w:basedOn w:val="DefaultParagraphFont"/>
    <w:link w:val="Header"/>
    <w:uiPriority w:val="99"/>
    <w:rsid w:val="008C34BC"/>
    <w:rPr>
      <w:rFonts w:ascii="Aptos" w:hAnsi="Aptos"/>
      <w:sz w:val="24"/>
      <w:szCs w:val="24"/>
      <w:lang w:eastAsia="en-US"/>
    </w:rPr>
  </w:style>
  <w:style w:type="character" w:styleId="Hyperlink">
    <w:name w:val="Hyperlink"/>
    <w:basedOn w:val="DefaultParagraphFont"/>
    <w:uiPriority w:val="99"/>
    <w:unhideWhenUsed/>
    <w:rsid w:val="008C34BC"/>
    <w:rPr>
      <w:color w:val="0000FF" w:themeColor="hyperlink"/>
      <w:u w:val="single"/>
    </w:rPr>
  </w:style>
  <w:style w:type="paragraph" w:styleId="ListParagraph">
    <w:name w:val="List Paragraph"/>
    <w:basedOn w:val="Normal"/>
    <w:uiPriority w:val="34"/>
    <w:rsid w:val="008C34BC"/>
    <w:pPr>
      <w:ind w:left="720"/>
      <w:contextualSpacing/>
    </w:pPr>
    <w:rPr>
      <w:rFonts w:ascii="Times New Roman" w:eastAsia="Times New Roman" w:hAnsi="Times New Roman" w:cs="Times New Roman"/>
      <w:lang w:val="en-US"/>
    </w:rPr>
  </w:style>
  <w:style w:type="paragraph" w:customStyle="1" w:styleId="OATbodystyle">
    <w:name w:val="OAT body style"/>
    <w:basedOn w:val="Normal"/>
    <w:qFormat/>
    <w:rsid w:val="008C34BC"/>
    <w:pPr>
      <w:tabs>
        <w:tab w:val="left" w:pos="284"/>
      </w:tabs>
      <w:spacing w:after="250" w:line="250" w:lineRule="exact"/>
    </w:pPr>
    <w:rPr>
      <w:sz w:val="20"/>
      <w:szCs w:val="20"/>
      <w:lang w:val="en-US"/>
    </w:rPr>
  </w:style>
  <w:style w:type="paragraph" w:customStyle="1" w:styleId="OATheader">
    <w:name w:val="OAT header"/>
    <w:basedOn w:val="Heading1"/>
    <w:qFormat/>
    <w:rsid w:val="008C34BC"/>
    <w:pPr>
      <w:spacing w:before="480" w:line="400" w:lineRule="exact"/>
    </w:pPr>
    <w:rPr>
      <w:rFonts w:ascii="Aptos" w:hAnsi="Aptos"/>
      <w:color w:val="00AFF0"/>
      <w:sz w:val="42"/>
      <w:szCs w:val="40"/>
    </w:rPr>
  </w:style>
  <w:style w:type="paragraph" w:customStyle="1" w:styleId="OATliststyle">
    <w:name w:val="OAT list style"/>
    <w:basedOn w:val="OATbodystyle"/>
    <w:qFormat/>
    <w:rsid w:val="008C34BC"/>
    <w:pPr>
      <w:numPr>
        <w:numId w:val="66"/>
      </w:numPr>
      <w:spacing w:line="280" w:lineRule="exact"/>
      <w:contextualSpacing/>
    </w:pPr>
    <w:rPr>
      <w:sz w:val="24"/>
    </w:rPr>
  </w:style>
  <w:style w:type="paragraph" w:customStyle="1" w:styleId="OATsubheader1">
    <w:name w:val="OAT sub header 1"/>
    <w:basedOn w:val="Normal"/>
    <w:qFormat/>
    <w:rsid w:val="008C34BC"/>
    <w:pPr>
      <w:tabs>
        <w:tab w:val="left" w:pos="2800"/>
      </w:tabs>
      <w:spacing w:after="60" w:line="270" w:lineRule="exact"/>
    </w:pPr>
    <w:rPr>
      <w:rFonts w:cs="Gill Sans"/>
      <w:color w:val="00AFF0"/>
      <w:lang w:val="en-US"/>
    </w:rPr>
  </w:style>
  <w:style w:type="paragraph" w:customStyle="1" w:styleId="OATsubheader2">
    <w:name w:val="OAT sub header 2"/>
    <w:basedOn w:val="Heading3"/>
    <w:qFormat/>
    <w:rsid w:val="008C34BC"/>
    <w:rPr>
      <w:rFonts w:ascii="Arial" w:hAnsi="Arial"/>
      <w:i/>
      <w:color w:val="auto"/>
    </w:rPr>
  </w:style>
  <w:style w:type="table" w:styleId="TableGrid">
    <w:name w:val="Table Grid"/>
    <w:basedOn w:val="TableNormal"/>
    <w:uiPriority w:val="59"/>
    <w:rsid w:val="008C34BC"/>
    <w:pPr>
      <w:spacing w:after="0" w:line="240" w:lineRule="auto"/>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C34B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gcustom1">
    <w:name w:val="Title pg custom 1"/>
    <w:basedOn w:val="Normal"/>
    <w:qFormat/>
    <w:rsid w:val="008C34BC"/>
    <w:pPr>
      <w:spacing w:after="60" w:line="270" w:lineRule="exact"/>
    </w:pPr>
    <w:rPr>
      <w:rFonts w:ascii="Calibri" w:eastAsia="Calibri" w:hAnsi="Calibri"/>
      <w:sz w:val="26"/>
      <w:szCs w:val="26"/>
    </w:rPr>
  </w:style>
  <w:style w:type="paragraph" w:styleId="TOC1">
    <w:name w:val="toc 1"/>
    <w:basedOn w:val="Normal"/>
    <w:next w:val="Normal"/>
    <w:autoRedefine/>
    <w:uiPriority w:val="39"/>
    <w:unhideWhenUsed/>
    <w:rsid w:val="008C34BC"/>
    <w:pPr>
      <w:spacing w:after="100"/>
    </w:pPr>
    <w:rPr>
      <w:rFonts w:asciiTheme="majorHAnsi" w:hAnsiTheme="majorHAnsi"/>
    </w:rPr>
  </w:style>
  <w:style w:type="paragraph" w:styleId="TOC2">
    <w:name w:val="toc 2"/>
    <w:basedOn w:val="Normal"/>
    <w:next w:val="Normal"/>
    <w:autoRedefine/>
    <w:uiPriority w:val="39"/>
    <w:unhideWhenUsed/>
    <w:rsid w:val="008C34BC"/>
    <w:pPr>
      <w:spacing w:after="100"/>
      <w:ind w:left="240"/>
    </w:pPr>
    <w:rPr>
      <w:rFonts w:ascii="Calibri" w:hAnsi="Calibri"/>
      <w:sz w:val="18"/>
    </w:rPr>
  </w:style>
  <w:style w:type="paragraph" w:styleId="TOC3">
    <w:name w:val="toc 3"/>
    <w:basedOn w:val="Normal"/>
    <w:next w:val="Normal"/>
    <w:autoRedefine/>
    <w:uiPriority w:val="39"/>
    <w:unhideWhenUsed/>
    <w:rsid w:val="008C34BC"/>
    <w:pPr>
      <w:spacing w:after="100"/>
      <w:ind w:left="440"/>
    </w:pPr>
    <w:rPr>
      <w:rFonts w:ascii="Arial" w:hAnsi="Arial" w:cs="Times New Roman"/>
      <w:lang w:val="en-US"/>
    </w:rPr>
  </w:style>
  <w:style w:type="paragraph" w:styleId="TOCHeading">
    <w:name w:val="TOC Heading"/>
    <w:basedOn w:val="Heading1"/>
    <w:next w:val="Normal"/>
    <w:uiPriority w:val="39"/>
    <w:unhideWhenUsed/>
    <w:qFormat/>
    <w:rsid w:val="008C34BC"/>
    <w:pPr>
      <w:keepLines/>
      <w:spacing w:before="240" w:line="259" w:lineRule="auto"/>
      <w:outlineLvl w:val="9"/>
    </w:pPr>
    <w:rPr>
      <w:rFonts w:asciiTheme="majorHAnsi" w:eastAsiaTheme="majorEastAsia" w:hAnsiTheme="majorHAnsi" w:cstheme="majorBidi"/>
      <w:bCs w:val="0"/>
      <w:color w:val="365F91" w:themeColor="accent1" w:themeShade="BF"/>
      <w:kern w:val="0"/>
      <w:sz w:val="32"/>
      <w:szCs w:val="32"/>
    </w:rPr>
  </w:style>
  <w:style w:type="character" w:customStyle="1" w:styleId="Heading1Char">
    <w:name w:val="Heading 1 Char"/>
    <w:basedOn w:val="DefaultParagraphFont"/>
    <w:link w:val="Heading1"/>
    <w:rsid w:val="008C34BC"/>
    <w:rPr>
      <w:rFonts w:ascii="Arial Black" w:eastAsia="Times New Roman" w:hAnsi="Arial Black" w:cs="Arial"/>
      <w:bCs/>
      <w:color w:val="4F2D7F"/>
      <w:kern w:val="32"/>
      <w:sz w:val="19"/>
      <w:szCs w:val="24"/>
      <w:lang w:val="en-US" w:eastAsia="en-US"/>
    </w:rPr>
  </w:style>
  <w:style w:type="character" w:customStyle="1" w:styleId="Heading2Char">
    <w:name w:val="Heading 2 Char"/>
    <w:basedOn w:val="DefaultParagraphFont"/>
    <w:link w:val="Heading2"/>
    <w:uiPriority w:val="9"/>
    <w:rsid w:val="008C34BC"/>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rsid w:val="008C34BC"/>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52640A"/>
    <w:rPr>
      <w:rFonts w:eastAsiaTheme="minorHAnsi"/>
      <w:kern w:val="2"/>
      <w:lang w:eastAsia="en-US"/>
      <w14:ligatures w14:val="standardContextual"/>
    </w:rPr>
  </w:style>
  <w:style w:type="character" w:customStyle="1" w:styleId="Heading5Char">
    <w:name w:val="Heading 5 Char"/>
    <w:basedOn w:val="DefaultParagraphFont"/>
    <w:link w:val="Heading5"/>
    <w:rsid w:val="0052640A"/>
    <w:rPr>
      <w:rFonts w:eastAsiaTheme="minorHAnsi"/>
      <w:kern w:val="2"/>
      <w:lang w:eastAsia="en-US"/>
      <w14:ligatures w14:val="standardContextual"/>
    </w:rPr>
  </w:style>
  <w:style w:type="character" w:customStyle="1" w:styleId="Heading6Char">
    <w:name w:val="Heading 6 Char"/>
    <w:basedOn w:val="DefaultParagraphFont"/>
    <w:link w:val="Heading6"/>
    <w:rsid w:val="0052640A"/>
    <w:rPr>
      <w:rFonts w:eastAsiaTheme="minorHAnsi"/>
      <w:color w:val="000000"/>
      <w:kern w:val="2"/>
      <w:lang w:eastAsia="en-US"/>
      <w14:ligatures w14:val="standardContextual"/>
    </w:rPr>
  </w:style>
  <w:style w:type="character" w:customStyle="1" w:styleId="Heading7Char">
    <w:name w:val="Heading 7 Char"/>
    <w:basedOn w:val="DefaultParagraphFont"/>
    <w:link w:val="Heading7"/>
    <w:rsid w:val="0052640A"/>
    <w:rPr>
      <w:rFonts w:eastAsiaTheme="minorHAnsi"/>
      <w:b/>
      <w:color w:val="000000"/>
      <w:kern w:val="2"/>
      <w:lang w:eastAsia="en-US"/>
      <w14:ligatures w14:val="standardContextual"/>
    </w:rPr>
  </w:style>
  <w:style w:type="character" w:customStyle="1" w:styleId="Heading8Char">
    <w:name w:val="Heading 8 Char"/>
    <w:basedOn w:val="DefaultParagraphFont"/>
    <w:link w:val="Heading8"/>
    <w:rsid w:val="0052640A"/>
    <w:rPr>
      <w:rFonts w:eastAsiaTheme="minorHAnsi"/>
      <w:b/>
      <w:kern w:val="2"/>
      <w:szCs w:val="28"/>
      <w:lang w:eastAsia="en-US"/>
      <w14:ligatures w14:val="standardContextual"/>
    </w:rPr>
  </w:style>
  <w:style w:type="character" w:customStyle="1" w:styleId="Heading9Char">
    <w:name w:val="Heading 9 Char"/>
    <w:basedOn w:val="DefaultParagraphFont"/>
    <w:link w:val="Heading9"/>
    <w:rsid w:val="0052640A"/>
    <w:rPr>
      <w:rFonts w:eastAsiaTheme="minorHAnsi"/>
      <w:b/>
      <w:color w:val="000000"/>
      <w:kern w:val="2"/>
      <w:sz w:val="28"/>
      <w:lang w:eastAsia="en-US"/>
      <w14:ligatures w14:val="standardContextual"/>
    </w:rPr>
  </w:style>
  <w:style w:type="paragraph" w:styleId="Revision">
    <w:name w:val="Revision"/>
    <w:hidden/>
    <w:uiPriority w:val="99"/>
    <w:semiHidden/>
    <w:rsid w:val="00916ABD"/>
    <w:pPr>
      <w:spacing w:after="0" w:line="240" w:lineRule="auto"/>
    </w:pPr>
    <w:rPr>
      <w:rFonts w:eastAsiaTheme="minorHAns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975884">
      <w:bodyDiv w:val="1"/>
      <w:marLeft w:val="0"/>
      <w:marRight w:val="0"/>
      <w:marTop w:val="0"/>
      <w:marBottom w:val="0"/>
      <w:divBdr>
        <w:top w:val="none" w:sz="0" w:space="0" w:color="auto"/>
        <w:left w:val="none" w:sz="0" w:space="0" w:color="auto"/>
        <w:bottom w:val="none" w:sz="0" w:space="0" w:color="auto"/>
        <w:right w:val="none" w:sz="0" w:space="0" w:color="auto"/>
      </w:divBdr>
    </w:div>
    <w:div w:id="1112702800">
      <w:bodyDiv w:val="1"/>
      <w:marLeft w:val="0"/>
      <w:marRight w:val="0"/>
      <w:marTop w:val="0"/>
      <w:marBottom w:val="0"/>
      <w:divBdr>
        <w:top w:val="none" w:sz="0" w:space="0" w:color="auto"/>
        <w:left w:val="none" w:sz="0" w:space="0" w:color="auto"/>
        <w:bottom w:val="none" w:sz="0" w:space="0" w:color="auto"/>
        <w:right w:val="none" w:sz="0" w:space="0" w:color="auto"/>
      </w:divBdr>
    </w:div>
    <w:div w:id="1140270424">
      <w:bodyDiv w:val="1"/>
      <w:marLeft w:val="0"/>
      <w:marRight w:val="0"/>
      <w:marTop w:val="0"/>
      <w:marBottom w:val="0"/>
      <w:divBdr>
        <w:top w:val="none" w:sz="0" w:space="0" w:color="auto"/>
        <w:left w:val="none" w:sz="0" w:space="0" w:color="auto"/>
        <w:bottom w:val="none" w:sz="0" w:space="0" w:color="auto"/>
        <w:right w:val="none" w:sz="0" w:space="0" w:color="auto"/>
      </w:divBdr>
    </w:div>
    <w:div w:id="1306620249">
      <w:bodyDiv w:val="1"/>
      <w:marLeft w:val="0"/>
      <w:marRight w:val="0"/>
      <w:marTop w:val="0"/>
      <w:marBottom w:val="0"/>
      <w:divBdr>
        <w:top w:val="none" w:sz="0" w:space="0" w:color="auto"/>
        <w:left w:val="none" w:sz="0" w:space="0" w:color="auto"/>
        <w:bottom w:val="none" w:sz="0" w:space="0" w:color="auto"/>
        <w:right w:val="none" w:sz="0" w:space="0" w:color="auto"/>
      </w:divBdr>
    </w:div>
    <w:div w:id="1639610010">
      <w:bodyDiv w:val="1"/>
      <w:marLeft w:val="0"/>
      <w:marRight w:val="0"/>
      <w:marTop w:val="0"/>
      <w:marBottom w:val="0"/>
      <w:divBdr>
        <w:top w:val="none" w:sz="0" w:space="0" w:color="auto"/>
        <w:left w:val="none" w:sz="0" w:space="0" w:color="auto"/>
        <w:bottom w:val="none" w:sz="0" w:space="0" w:color="auto"/>
        <w:right w:val="none" w:sz="0" w:space="0" w:color="auto"/>
      </w:divBdr>
    </w:div>
    <w:div w:id="1948929482">
      <w:bodyDiv w:val="1"/>
      <w:marLeft w:val="0"/>
      <w:marRight w:val="0"/>
      <w:marTop w:val="0"/>
      <w:marBottom w:val="0"/>
      <w:divBdr>
        <w:top w:val="none" w:sz="0" w:space="0" w:color="auto"/>
        <w:left w:val="none" w:sz="0" w:space="0" w:color="auto"/>
        <w:bottom w:val="none" w:sz="0" w:space="0" w:color="auto"/>
        <w:right w:val="none" w:sz="0" w:space="0" w:color="auto"/>
      </w:divBdr>
      <w:divsChild>
        <w:div w:id="1791314959">
          <w:marLeft w:val="0"/>
          <w:marRight w:val="0"/>
          <w:marTop w:val="0"/>
          <w:marBottom w:val="0"/>
          <w:divBdr>
            <w:top w:val="none" w:sz="0" w:space="0" w:color="auto"/>
            <w:left w:val="none" w:sz="0" w:space="0" w:color="auto"/>
            <w:bottom w:val="none" w:sz="0" w:space="0" w:color="auto"/>
            <w:right w:val="none" w:sz="0" w:space="0" w:color="auto"/>
          </w:divBdr>
          <w:divsChild>
            <w:div w:id="640037354">
              <w:marLeft w:val="0"/>
              <w:marRight w:val="0"/>
              <w:marTop w:val="0"/>
              <w:marBottom w:val="0"/>
              <w:divBdr>
                <w:top w:val="none" w:sz="0" w:space="0" w:color="auto"/>
                <w:left w:val="none" w:sz="0" w:space="0" w:color="auto"/>
                <w:bottom w:val="none" w:sz="0" w:space="0" w:color="auto"/>
                <w:right w:val="none" w:sz="0" w:space="0" w:color="auto"/>
              </w:divBdr>
              <w:divsChild>
                <w:div w:id="95999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4.xml><?xml version="1.0" encoding="utf-8"?>
<cdm:cachedDataManifest xmlns:cdm="http://schemas.microsoft.com/2004/VisualStudio/Tools/Applications/CachedDataManifest.xsd" cdm:revision="1"/>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n-document xmlns:xsd="http://www.w3.org/2001/XMLSchema" xmlns:xsi="http://www.w3.org/2001/XMLSchema-instance" guid="0" synced="true" validated="true">
  <n-docbody>
    <standard.doc precedenttype="agreement">
      <prelim>
        <product.name>product.name0</product.name>
        <title>Invitation to tender (PCR 2015)</title>
        <author>
          <link href="http://uk.practicallaw.com/about/our-team/uk-public-sector" style="ACTLinkURL">
            <ital>Practical Law Public Sector</ital>
          </link>
        </author>
        <resource.type>Standard documents</resource.type>
        <juris>juris0</juris>
        <juris>juris1</juris>
      </prelim>
      <abstract>
        <para>
          <paratext>
            A standard invitation to tender (ITT) document that can be used by a contracting authority purchasing services in accordance with the Public Contracts Regulations 2015 (
            <ital>SI 2015/102</ital>
            ).
          </paratext>
        </para>
        <para>
          <paratext>
            The second part of the ITT, the questions for tenderers, is contained in 
            <link href="4-599-9626" style="ACTLinkPLCtoPLC">
              <ital>Standard document, Invitation to tender (PCR 2015): questions for tenderers</ital>
            </link>
            .
          </paratext>
        </para>
      </abstract>
      <toc.identifier hasToc="true"/>
      <body>
        <cover.sheet>
          <head align="left" preservecase="true">
            <headtext>Invitation to tender</headtext>
          </head>
        </cover.sheet>
        <operative xrefname="paragraph">
          <drafting.note id="a616979" jurisdiction="">
            <head align="left" preservecase="true">
              <headtext>General document notes</headtext>
            </head>
            <division id="a000002" level="1">
              <para>
                <paratext>
                  This invitation to tender (ITT) is intended for use by public sector bodies for procurements which are regulated by the 
                  <link href="4-600-4052" style="ACTLinkPLCtoPLC">
                    <ital>Public Contracts Regulations 2015 (SI 2015/102)</ital>
                  </link>
                   (PCR 2015). Specifically, this ITT assumes the 
                  <link href="8-385-1376" style="ACTLinkPLCtoPLC">
                    <bold>
                      <ital>restricted procedure</ital>
                    </bold>
                  </link>
                   is being adopted to purchase services.
                </paratext>
              </para>
              <para>
                <paratext>However, the ITT can be adapted for use in:</paratext>
              </para>
              <list type="bulleted">
                <list.item>
                  <para>
                    <paratext>
                      A competitive procedure with negotiation, where the Tenderers are invited to submit an initial tender, and may then carry out negotiations on that and any subsequent tenders until Tenderers are invited to submit a final tender. For more information, see 
                      <link anchor="a360313" href="4-599-9645" style="ACTLinkPLCtoPLC">
                        <ital>Practice note, New and revised public procurement procedures (PCR 2015): Competitive procedure with negotiation</ital>
                      </link>
                      .
                    </paratext>
                  </para>
                </list.item>
                <list.item>
                  <para>
                    <paratext>
                      An open procedure, for example, by including the selection criteria specified in the 
                      <link href="2-385-1379" style="ACTLinkPLCtoPLC">
                        <bold>
                          <ital>selection questionnaire</ital>
                        </bold>
                      </link>
                       (SQ) or for the purchase of goods. For more information, see 
                      <ital> </ital>
                      <link href="7-579-9145" style="ACTLinkPLCtoPLC">
                        <ital>Practice note, Selection criteria and standard selection questionnaires (SQs)</ital>
                      </link>
                      .
                    </paratext>
                  </para>
                </list.item>
              </list>
              <para>
                <paratext>The ITT includes a number of sections that can be deleted if they are not relevant. The drafting notes assist users in identifying these sections.</paratext>
              </para>
              <para>
                <paratext>
                  The ITT can be adapted for use for below threshold or procurements under 
                  <link href="8-601-2385" style="ACTLinkPLCtoPLC">
                    <ital>Schedule 3</ital>
                  </link>
                   to the PCR 2015. Further amendments may be made (for example, to shorten the document). However, authorities should ensure they comply with obligations applicable to such contracts when adapting this document, see 
                  <link href="7-600-9425" style="ACTLinkPLCtoPLC">
                    <ital>Practice notes, Light touch public procurement regime (PCR 2015)</ital>
                  </link>
                  , 
                  <link href="5-601-8505" style="ACTLinkPLCtoPLC">
                    <ital>Additional requirements for below and above threshold contracts (Part 4, PCR 2015)</ital>
                  </link>
                   and 
                  <link href="2-386-8761" style="ACTLinkPLCtoPLC">
                    <ital>Evaluation of tenders</ital>
                  </link>
                  .
                </paratext>
              </para>
            </division>
          </drafting.note>
          <clause id="a000003">
            <para>
              <paratext>
                <table frame="all" pgwide="1">
                  <tgroup cols="1">
                    <colspec colname="1" colnum="1" colwidth="100"/>
                    <tbody>
                      <row>
                        <entry valign="top">
                          <para align="center">
                            <paratext>NAME OF AUTHORITY:</paratext>
                          </para>
                        </entry>
                      </row>
                      <row>
                        <entry valign="top">
                          <para align="center">
                            <paratext>TENDER FOR: [NAME OF SERVICE]</paratext>
                          </para>
                        </entry>
                      </row>
                      <row>
                        <entry valign="top">
                          <para align="center">
                            <paratext>CONTRACT NOTICE REFERENCE NUMBER</paratext>
                          </para>
                        </entry>
                      </row>
                      <row>
                        <entry valign="top">
                          <para align="center">
                            <paratext>TENDER RETURN DATE AND TIME (DEADLINE): [DATE AND TIME]</paratext>
                          </para>
                        </entry>
                      </row>
                    </tbody>
                  </tgroup>
                </table>
              </paratext>
            </para>
          </clause>
          <clause id="a1033551">
            <identifier>1.</identifier>
            <head align="left" preservecase="true">
              <headtext>Introduction and background</headtext>
            </head>
            <subclause1 id="a770563">
              <identifier>1.1</identifier>
              <para>
                <paratext>
                  <bold>Contents of the ITT</bold>
                </paratext>
              </para>
              <para>
                <paratext>
                  This invitation to tender (
                  <defn.term>ITT</defn.term>
                  ) comprises:
                </paratext>
              </para>
              <list type="bulleted">
                <list.item>
                  <para>
                    <paratext>Tender completion requirements, evaluation model, specification and schedules.</paratext>
                  </para>
                </list.item>
                <list.item>
                  <para>
                    <paratext>
                      [Draft contract (
                      <bold>Contract</bold>
                      ) and schedules.]
                    </paratext>
                  </para>
                </list.item>
                <list.item>
                  <para>
                    <paratext>[Technical and commercial questions.]</paratext>
                  </para>
                </list.item>
              </list>
            </subclause1>
            <subclause1 id="a293949">
              <identifier>1.2</identifier>
              <para>
                <paratext>
                  <bold>Introduction to the Authority</bold>
                </paratext>
              </para>
              <para>
                <paratext>
                  The Authority is conducting the procurement using the restricted procedure in accordance with the requirements of the Public Contracts Regulations 2015 (
                  <ital>SI 2015/102</ital>
                  ) (PCR 2015) for the purpose of procuring the services described in the Specification (
                  <defn.term>Services</defn.term>
                  ).
                </paratext>
              </para>
              <para>
                <paratext>
                  Interested parties completed the selection questionnaire (
                  <defn.term>SQ</defn.term>
                  ), which sought responses in relation to their technical capacity or professional ability, and their economic and financial standing. The Authority evaluated the SQ responses and selected the [NUMBER] highest ranking qualified candidates. This ITT should be completed by those suppliers (
                  <defn.term>Tenderers</defn.term>
                  ).
                </paratext>
              </para>
              <para>
                <paratext>
                  This ITT contains further information about the procurement process, the Services, and assessment questions for Tenderers to complete. Each Tenderer's response (
                  <defn.term>Tender</defn.term>
                  ) should be sufficiently detailed to allow the Authority to make an informed selection of the most appropriate solution.
                </paratext>
              </para>
              <para>
                <paratext>[DESCRIBE THE BACKGROUND TO THE AUTHORITY, AND ITS ACTIVITIES AND ORGANISATION. EXPLAIN THE AUTHORITY'S VISION, VALUES AND STRATEGIC OBJECTIVES]</paratext>
              </para>
              <drafting.note id="a453832" jurisdiction="">
                <head align="left" preservecase="true">
                  <headtext>Selling the Authority</headtext>
                </head>
                <division id="a000004" level="1">
                  <para>
                    <paratext>This section of the ITT is an opportunity for the Authority to sell itself to the supplier market. It should show that it has an understanding of the market and its drivers and, if there is restricted capacity in the market or other supply block, the Authority should tailor its description of the Services to appeal to the market.</paratext>
                  </para>
                  <para>
                    <paratext>
                      For information on consulting the market, see 
                      <link href="5-519-8003" style="ACTLinkPLCtoPLC">
                        <ital>Standard document, Public procurement: market consultation: questions for the supplier market</ital>
                      </link>
                      .
                    </paratext>
                  </para>
                </division>
              </drafting.note>
            </subclause1>
            <subclause1 id="a240542">
              <identifier>1.3</identifier>
              <para>
                <paratext>
                  <bold>Scope of the Project</bold>
                </paratext>
              </para>
              <para>
                <paratext>[DETAILS OF SERVICE OBJECTIVES OR OUTCOMES]</paratext>
              </para>
              <drafting.note id="a867808" jurisdiction="">
                <head align="left" preservecase="true">
                  <headtext>Providing for future changes</headtext>
                </head>
                <division id="a000005" level="1">
                  <para>
                    <paratext>The Authority should consider describing both its determined requirements, and those requirements which may become necessary during the life of the contract and which it may wish to include in the contract at a future date.</paratext>
                  </para>
                  <para>
                    <paratext>Regulation 72 of the PCR 2015 permits public contracts to be varied on certain grounds, including where the changes were provided for in the initial procurement documents in clear, precise and unequivocal review clauses, which may include price revision clauses or options, provided such clauses:</paratext>
                  </para>
                  <list type="bulleted">
                    <list.item>
                      <para>
                        <paratext>State the scope and nature of possible modifications or options as well as the conditions under which they may be used.</paratext>
                      </para>
                    </list.item>
                    <list.item>
                      <para>
                        <paratext>Do not provide for modifications or options that would alter the overall nature of the contract or the framework agreement.</paratext>
                      </para>
                    </list.item>
                  </list>
                  <para>
                    <paratext>
                      For more information, see 
                      <link href="1-516-8852#a649361" style="ACTLinkPLCtoPLC">
                        <ital>Practice note, Varying public contracts: Variations permitted by the Public Contracts Regulations 2015</ital>
                      </link>
                      .
                    </paratext>
                  </para>
                </division>
              </drafting.note>
              <para>
                <paratext>[DETAILS OF CURRENT ARRANGEMENTS]</paratext>
              </para>
              <drafting.note id="a884012" jurisdiction="">
                <head align="left" preservecase="true">
                  <headtext>Providing details of existing service or current arrangements</headtext>
                </head>
                <division id="a000006" level="1">
                  <para>
                    <paratext>It can be difficult to determine how much information to give about the existing service, particularly if the service is already outsourced and the information the Authority wants to provide may be commercially sensitive to the incumbent supplier.</paratext>
                  </para>
                  <para>
                    <paratext>
                      <internal.reference refid="a165427">Schedule 3</internal.reference>
                       assumes that the authority is able to provide some detail of the current service levels.
                    </paratext>
                  </para>
                  <para>
                    <paratext>
                      The Authority may take the view that it is entitled to disclose any information that it would be obliged to disclose if it received a request for the same under the 
                      <link href="4-505-6037" style="ACTLinkPLCtoPLC">
                        <ital>Freedom of Information Act 2000</ital>
                      </link>
                       (FOIA) (see 
                      <link href="0-200-9452" style="ACTLinkPLCtoPLC">
                        <ital>Practice note, Freedom of information</ital>
                      </link>
                      ). However, it should check whether any disclosure would breach any confidentiality obligations it has with its existing supplier and, if it is in any doubt, discuss its intentions with its existing supplier. If the Authority receives a freedom of information (FOI) request relating to the contract, it could find itself in the unenviable position of breaching the contract or FOIA. For more information see 
                      <link href="w-011-6127" style="ACTLinkPLCtoPLC">
                        <ital>Practice note, The application of FOIA exemptions and EIR exceptions to public procurement and public contracts information</ital>
                      </link>
                      .
                    </paratext>
                  </para>
                  <para>
                    <paratext>
                      For a standard clause covering disclosures of supplier information, see 
                      <link href="4-501-5075" style="ACTLinkPLCtoPLC">
                        <ital>Standard clause, Public sector boilerplate: Freedom of information</ital>
                      </link>
                      .
                    </paratext>
                  </para>
                </division>
              </drafting.note>
            </subclause1>
            <subclause1 id="a948100">
              <identifier>1.4</identifier>
              <para>
                <paratext>
                  <bold>Value of the contract</bold>
                </paratext>
              </para>
              <para>
                <paratext>The current service handles work to a value of £[AMOUNT] in [TIME FRAME].</paratext>
              </para>
              <para>
                <paratext>The anticipated value of the Services is approximately [DETAILS OF FORECAST SPEND].</paratext>
              </para>
              <para>
                <paratext>
                  [DETAILS OF ANY ANTICIPATED SAVINGS AND ANY THIRD PARTY USE OF THE AGREEMENT WHICH MAY HAVE AN IMPACT ON SPEND (see 
                  <internal.reference refid="a283267">paragraph 1.7</internal.reference>
                  ).]
                </paratext>
              </para>
              <para>
                <paratex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paratext>
              </para>
              <drafting.note id="a1026915" jurisdiction="">
                <head align="left" preservecase="true">
                  <headtext>Specifying a contract value and pricing evaluation</headtext>
                </head>
                <division id="a000007" level="1">
                  <para>
                    <paratext>Contracting authorities may be nervous of specifying a contract value for fear of attracting bids which are above, at or just below that value. However, this figure must be disclosed if bids are to be evaluated against it. There are two common methods of evaluating price, though these two basic models have many variants:</paratext>
                  </para>
                  <list type="bulleted">
                    <list.item>
                      <para>
                        <paratext>The authority sets a benchmark price, with all bids scored on a comparative basis against that price.</paratext>
                      </para>
                    </list.item>
                    <list.item>
                      <para>
                        <paratext>No benchmark is set and the lowest bid price scores the maximum marks available for the pricing element. All other prices are awarded scores depending on what percentage the lowest price is of their price.</paratext>
                      </para>
                    </list.item>
                  </list>
                  <para>
                    <paratext>
                      Where the Authority has a fixed budget, it may want to state that bids exceeding a specified limit will be deemed non-compliant and will be rejected. Otherwise it must rely on the award criteria to ensure it does not end up with a technically superior but unaffordable solution. For more information,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upon how they are phrased. The contract terms could also encourage efficiencies by operating a gain-share mechanism through which savings will be shared between the parties (see 
                      <link href="0-202-4551#a326019" style="ACTLinkPLCtoPLC">
                        <ital>Standard documents, Outsourcing agreement: long form: 15. Service improvement and technology refresh</ital>
                      </link>
                       and 
                      <link anchor="a675283" href="2-501-1525" style="ACTLinkPLCtoPLC">
                        <ital>Standard document, Services agreement for use by public sector bodies: 18. Change control, benchmarking and continuous improvement</ital>
                      </link>
                      ).
                    </paratext>
                  </para>
                  <para>
                    <paratext>
                      If the Authority proposes to use a life cycle costing approach to assessing value for money, it must provide details of its approach in the procurement documents (see 
                      <link href="2-386-8761" style="ACTLinkPLCtoPLC">
                        <ital>Practice note, Evaluation of tenders</ital>
                      </link>
                      ).
                    </paratext>
                  </para>
                  <para>
                    <paratext>If the Authority is permitting any third party organisations to use the contract (whether by procuring on their behalf or under a framework arrangement), the Authority must ensure the contract scope and value specified in the ITT and the contract notice reflects that potential spend.</paratext>
                  </para>
                </division>
              </drafting.note>
            </subclause1>
            <subclause1 id="a296540">
              <identifier>1.5</identifier>
              <para>
                <paratext>
                  <bold>Contract term</bold>
                </paratext>
              </para>
              <para>
                <paratext>
                  The Authority proposes to enter into one [or more] Contract(s) for a maximum period of [NUMBER] [months 
                  <bold>OR</bold>
                   years] with the successful Tenderer (
                  <defn.term>Service Provider</defn.term>
                  ).
                </paratext>
              </para>
              <para>
                <paratext>The anticipated service commencement date is [DATE].</paratext>
              </para>
              <drafting.note id="a1022790" jurisdiction="">
                <head align="left" preservecase="true">
                  <headtext>Contract term</headtext>
                </head>
                <division id="a000008" level="1">
                  <para>
                    <paratext>The appropriate duration of the Contract is a key issue. It is important to ensure it is relevant to the particular service to ensure maximum value for money. If the contract term will allow for extensions, be aware that Tenderers are likely to propose cost models which are more favourable to the Authority during the extension period and, therefore, encourage them to extend. In this way, savings may only be made in the latter years of the contract.</paratext>
                  </para>
                </division>
              </drafting.note>
              <subclause2 condition="optional" id="a566462">
                <identifier>(a)</identifier>
                <para>
                  <paratext>
                    [The Services have been divided into the following work packages (
                    <defn.term>Lots</defn.term>
                    ):
                  </paratext>
                </para>
                <subclause3 id="a380834">
                  <identifier>(i)</identifier>
                  <para>
                    <paratext>[DETAILS OF ANY LOTS]</paratext>
                  </para>
                </subclause3>
              </subclause2>
              <subclause2 condition="optional" id="a475141">
                <identifier>(b)</identifier>
                <para>
                  <paratext>The Authority would prefer to award all the Lots to a single Tenderer. However, separate contracts for each or any combination of the Lots will be awarded to separate Tenderers if it is more economically advantageous to do so.</paratext>
                </para>
                <para>
                  <paratext>[Tenderers are invited to bid for [all or any of] the following Lots:</paratext>
                </para>
                <para>
                  <paratext>[DETAILS OF ANY LOTS AND ANY RESTRICTIONS ON THE NUMBER OF LOTS THAT A SINGLE TENDERER CAN WIN]]</paratext>
                </para>
                <para>
                  <paratext>[Tenderers are asked to specify any financial benefit accruing to the Authority if the Tenderer is successful in its bid for more than one Lot.</paratext>
                </para>
                <drafting.note id="a247178" jurisdiction="">
                  <head align="left" preservecase="true">
                    <headtext>Dividing the Contract into Lots</headtext>
                  </head>
                  <division id="a000009" level="1">
                    <para>
                      <paratext>
                        The Authority may decide to divide the scope of the Contract into different Lots (for example, based on value or geographical area) (
                        <ital>regulation 46(1), PCR 2015</ital>
                        ). This approach is common where either:
                      </paratext>
                    </para>
                    <list type="bulleted">
                      <list.item>
                        <para>
                          <paratext>The subject of the Contract does not lend itself to economies of scale.</paratext>
                        </para>
                      </list.item>
                      <list.item>
                        <para>
                          <paratext>The optimum conditions for such economies of scale are already met in the Lots.</paratext>
                        </para>
                      </list.item>
                      <list.item>
                        <para>
                          <paratext>A single provider is unlikely to be able to absorb the volumes to be purchased under the Contract.</paratext>
                        </para>
                      </list.item>
                      <list.item>
                        <para>
                          <paratext>The authority requires more than one provider for reasons of service continuity or choice.</paratext>
                        </para>
                      </list.item>
                    </list>
                    <para>
                      <paratext>
                        If the Authority decides not to subdivide into lots, it must set out the main reasons for its decision in the procurement documents or in its procurement report (
                        <link href="7-601-8806" style="ACTLinkPLCtoPLC">
                          <ital>regulation 46(2)</ital>
                        </link>
                        <ital>, PCR 2015</ital>
                        ).
                      </paratext>
                    </para>
                    <para>
                      <paratext>
                        Although dividing the Services in this way means the Authority could end up managing a number of different Contracts and (at worst) receiving a disjointed service, it may also permit smaller businesses to enter the market and provide the Authority with a contingency should one of the Contracts fail. All these considerations will contribute to an assessment of the model that represents best value for money to the Authority. For more information on best value in the local government context, see 
                        <link href="9-383-9732" style="ACTLinkPLCtoPLC">
                          <ital>Practice note, Best value: considerations in outsourcing</ital>
                        </link>
                        .
                      </paratext>
                    </para>
                    <para>
                      <paratext>If the Authority divides the Contract into Lots, it must set out:</paratext>
                    </para>
                    <list type="bulleted">
                      <list.item>
                        <para>
                          <paratext>Whether tenders may be submitted for one, several or all lots.</paratext>
                        </para>
                      </list.item>
                      <list.item>
                        <para>
                          <paratext>The maximum number of lots each Tenderer can win, if any limits apply.</paratext>
                        </para>
                      </list.item>
                    </list>
                    <para>
                      <paratext>The Authority is best advised not to limit the number of lots that can be tendered for as it risks receiving multiple bids for one or more lots and few or no bids for less attractive lots. Instead, if it makes sense to have a diversity of suppliers, it should limit the number that can be won.</paratext>
                    </para>
                    <para>
                      <paratext>
                        If the Authority wishes to limit the number of Lots a single Tenderer can win, it must clearly set out how Lots will be allocated in the event that a Tenderer is the highest scorer for more Lots than it is permitted to win. These rules must be objective and non-discriminatory (
                        <link href="7-601-8806" style="ACTLinkPLCtoPLC">
                          <ital>regulation 46(5)</ital>
                        </link>
                        <ital>, PCR 2015</ital>
                        ).
                      </paratext>
                    </para>
                    <para>
                      <paratext>Where the Authority permits bidders to bid for a combination of Lots, it must make this clear, and should consider its approach to evaluation carefully, particularly if it wants to enable Tenderers to score marks for any additional benefits they can offer the Authority, if the Tenderer were to win more than one lot. Unless these issues are included in the Evaluation Criteria, which are disclosed to all Tenderers, the Authority must not consider them at the evaluation stage.</paratext>
                    </para>
                  </division>
                </drafting.note>
              </subclause2>
            </subclause1>
            <subclause1 id="a862650">
              <identifier>1.6</identifier>
              <para>
                <paratext>
                  <bold>Purpose and scope of this ITT</bold>
                </paratext>
              </para>
              <para>
                <paratext>This ITT:</paratext>
              </para>
              <list type="bulleted">
                <list.item>
                  <para>
                    <paratext>Asks Tenderers to submit their Tenders in accordance with the instructions set out in the remainder of this ITT.</paratext>
                  </para>
                </list.item>
                <list.item>
                  <para>
                    <paratext>Sets out the overall timetable and process for the procurement of Tenders.</paratext>
                  </para>
                </list.item>
                <list.item>
                  <para>
                    <paratext>Provides Tenderers with sufficient information to enable them to submit a compliant Tender (including providing templates where relevant).</paratext>
                  </para>
                </list.item>
                <list.item>
                  <para>
                    <paratext>Sets out the Award Criteria and the Tender Evaluation Model that will be used to evaluate the Tenders.</paratext>
                  </para>
                </list.item>
                <list.item>
                  <para>
                    <paratext>Explains the administrative arrangements for the receipt of Tenders.</paratext>
                  </para>
                </list.item>
              </list>
            </subclause1>
            <subclause1 condition="optional" id="a283267">
              <identifier>1.7</identifier>
              <para>
                <paratext>
                  <bold>Use of Contract by third parties</bold>
                </paratext>
              </para>
              <para>
                <paratext>[The Authority is carrying out the procurement on behalf of itself as principal and any other person(s) or body referred to in the contract notice. Such bodies shall access the Contract through the Authority and shall have no direct contractual relationship with the Service Provider.]</paratext>
              </para>
              <para>
                <paratext>[The following authorities have expressed an interest in purchasing through the Contract:</paratext>
              </para>
              <list type="bulleted">
                <list.item>
                  <para>
                    <paratext>[DETAILS].]</paratext>
                  </para>
                </list.item>
              </list>
              <para>
                <paratext>[Other public sector bodies and local authorities within the geographical boundaries of [INSERT BOUNDARY DETAILS IF APPLICABLE] may join the Contract at a later date.]</paratext>
              </para>
              <drafting.note id="a208367" jurisdiction="">
                <head align="left" preservecase="true">
                  <headtext>Use of contract by third parties</headtext>
                </head>
                <division id="a000010" level="1">
                  <para>
                    <paratext>This wording envisages other public bodies buying through the Authority, as an addition to the Authority's Contract. This allows the Authority to:</paratext>
                  </para>
                  <list type="bulleted">
                    <list.item>
                      <para>
                        <paratext>Monitor the other authorities' level of spend.</paratext>
                      </para>
                    </list.item>
                    <list.item>
                      <para>
                        <paratext>Manage performance issues centrally.</paratext>
                      </para>
                    </list.item>
                    <list.item>
                      <para>
                        <paratext>Agree any variations centrally.</paratext>
                      </para>
                    </list.item>
                    <list.item>
                      <para>
                        <paratext>If appropriate, recover a management fee from the other authorities.</paratext>
                      </para>
                    </list.item>
                  </list>
                  <para>
                    <paratext>
                      An alternative option is for the Authority to set up the procurement so that other contracting authorities can buy direct from the Service Provider without any further involvement from the Authority (see 
                      <link href="9-506-9971" style="ACTLinkPLCtoPLC">
                        <ital>Practice note, Collaborative procurement: taking advantage of another authority's contract</ital>
                      </link>
                       and 
                      <link href="4-384-9601" style="ACTLinkPLCtoPLC">
                        <ital>Practice note, Framework agreements let under the public procurement regime</ital>
                      </link>
                      ).
                    </paratext>
                  </para>
                  <para>
                    <paratext>In either scenario, the Authority should ensure that the contract notice and specification are sufficiently wide to encompass the other contracting authorities' requirements and that the contract notice takes account of the other contracting authorities' potential spend.</paratext>
                  </para>
                </division>
              </drafting.note>
            </subclause1>
            <subclause1 id="a817202">
              <identifier>1.8</identifier>
              <para>
                <paratext>
                  <bold>Clarifications about the Services or ITT</bold>
                </paratext>
              </para>
              <para>
                <paratext>Any clarifications relating to this ITT must be submitted through the e-tendering portal.</paratext>
              </para>
              <para>
                <paratext>
                  The Authority will respond to all reasonable clarifications as soon as possible through publishing the Tenderers' questions and the Authority's response to them on the e-tendering portal (
                  <defn.term>Clarifications Log</defn.term>
                  ). If a Tenderer wishes the Authority to treat a clarification as confidential and not issue the response to all Tenderers, it must state this when submitting the clarification. If, in the opinion of the Authority, the clarification is not confidential, the Authority will inform the Tenderer and it will have an opportunity to withdraw it. If the clarification is not withdrawn, the response will be issued to all Tenderers.
                </paratext>
              </para>
              <para>
                <paratext>
                  The deadline for receipt of clarifications relating to the Services or this ITT is set out in 
                  <internal.reference refid="a257729">paragraph 2</internal.reference>
                  .
                </paratext>
              </para>
              <para>
                <paratext>Tenderers are advised not to rely on communications from the Authority in respect of the Services or ITT unless they are made in accordance with these instructions.</paratext>
              </para>
              <drafting.note id="a203297" jurisdiction="">
                <head align="left" preservecase="true">
                  <headtext>E-tendering portals</headtext>
                </head>
                <division id="a000011" level="1">
                  <para>
                    <paratext>
                      This wording assumes the Authority is using an e-tendering tool. However, the precise wording should be checked for conformity with the specific e-tendering product being used before it is uploaded. For more information see 
                      <link href="2-545-6625" style="ACTLinkPLCtoPLC">
                        <ital>Practice note, Electronic procurement</ital>
                      </link>
                      .
                    </paratext>
                  </para>
                </division>
              </drafting.note>
            </subclause1>
            <subclause1 id="a229730">
              <identifier>1.9</identifier>
              <para>
                <paratext>
                  <bold>Clarifications about the contents of the Tender</bold>
                </paratext>
              </para>
              <para>
                <paratext>The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paratext>
              </para>
              <drafting.note id="a929709" jurisdiction="">
                <head align="left" preservecase="true">
                  <headtext>Clarifications about the contents of tenders</headtext>
                </head>
                <division id="a000012" level="1">
                  <para>
                    <paratext>
                      For information on clarifying tenders, see 
                      <link href="2-386-8761#a600050" style="ACTLinkPLCtoPLC">
                        <ital>Practice note, Evaluation of tenders: Clarification if bid is unclear</ital>
                      </link>
                      <ital> </ital>
                      .
                    </paratext>
                  </para>
                </division>
              </drafting.note>
            </subclause1>
          </clause>
          <clause id="a257729">
            <identifier>2.</identifier>
            <head align="left" preservecase="true">
              <headtext>Tender Timetable</headtext>
            </head>
            <subclause1 id="a301295">
              <identifier>2.1</identifier>
              <para>
                <paratext>
                  <bold>Key dates</bold>
                </paratext>
              </para>
              <para>
                <paratext>This procurement will follow a clear, structured and transparent process to ensure a fair and level playing field is maintained at all times, and that all Tenderers are treated equally.</paratext>
              </para>
              <para>
                <paratext>
                  The key dates for this procurement (
                  <defn.term>Timetable</defn.term>
                  ) are currently anticipated to be as follows:
                </paratext>
              </para>
              <para>
                <paratext>
                  <table frame="all" pgwide="1">
                    <tgroup cols="2">
                      <colspec colname="1" colnum="1" colwidth="50"/>
                      <colspec colname="2" colnum="2" colwidth="50"/>
                      <tbody>
                        <row>
                          <entry valign="top">
                            <para align="left">
                              <paratext>
                                <bold>Event</bold>
                              </paratext>
                            </para>
                          </entry>
                          <entry valign="top">
                            <para align="left">
                              <paratext>
                                <bold>Date</bold>
                              </paratext>
                            </para>
                          </entry>
                        </row>
                        <row>
                          <entry valign="top">
                            <para align="left">
                              <paratext>Notification of outcome of SQ evaluation and identification of bidders invited to tender (Tenderers)</paratext>
                            </para>
                          </entry>
                          <entry valign="top">
                            <para align="left">
                              <paratext>[DATE]</paratext>
                            </para>
                          </entry>
                        </row>
                        <row>
                          <entry valign="top">
                            <para align="left">
                              <paratext>[Notification of attendance at Tenderers' workshop]</paratext>
                            </para>
                          </entry>
                          <entry valign="top">
                            <para align="left">
                              <paratext>[DATE]</paratext>
                            </para>
                          </entry>
                        </row>
                        <row>
                          <entry valign="top">
                            <para align="left">
                              <paratext>[Tenderers' workshop]</paratext>
                            </para>
                          </entry>
                          <entry valign="top">
                            <para align="left">
                              <paratext>[DATE], [TIME], [VENUE]</paratext>
                            </para>
                          </entry>
                        </row>
                        <row>
                          <entry valign="top">
                            <para align="left">
                              <paratext>Deadline for receipt of clarifications</paratext>
                            </para>
                          </entry>
                          <entry valign="top">
                            <para align="left">
                              <paratext>[DATE]</paratext>
                            </para>
                          </entry>
                        </row>
                        <row>
                          <entry valign="top">
                            <para align="left">
                              <paratext>Target date for responses to clarifications</paratext>
                            </para>
                          </entry>
                          <entry valign="top">
                            <para align="left">
                              <paratext>[DATE]</paratext>
                            </para>
                          </entry>
                        </row>
                        <row>
                          <entry valign="top">
                            <para align="left">
                              <paratext>[Notification of Reference Site Visits and Presentations]</paratext>
                            </para>
                          </entry>
                          <entry valign="top">
                            <para align="left">
                              <paratext>[DATE]</paratext>
                            </para>
                          </entry>
                        </row>
                        <row>
                          <entry valign="top">
                            <para align="left">
                              <paratext>Deadline for receipt of Tenders</paratext>
                            </para>
                          </entry>
                          <entry valign="top">
                            <para align="left">
                              <paratext>[DATE] [TIME]</paratext>
                            </para>
                          </entry>
                        </row>
                        <row>
                          <entry valign="top">
                            <para align="left">
                              <paratext>[Reference site visits]</paratext>
                            </para>
                          </entry>
                          <entry valign="top">
                            <para align="left">
                              <paratext>[DATE]</paratext>
                            </para>
                          </entry>
                        </row>
                        <row>
                          <entry valign="top">
                            <para align="left">
                              <paratext>[Presentations]</paratext>
                            </para>
                          </entry>
                          <entry valign="top">
                            <para align="left">
                              <paratext>[VENUE] [DATE]</paratext>
                            </para>
                          </entry>
                        </row>
                        <row>
                          <entry valign="top">
                            <para align="left">
                              <paratext>Evaluation of Tenders</paratext>
                            </para>
                          </entry>
                          <entry valign="top">
                            <para align="left">
                              <paratext>[DATE]</paratext>
                            </para>
                          </entry>
                        </row>
                        <row>
                          <entry valign="top">
                            <para align="left">
                              <paratext>Notification of contract award decision</paratext>
                            </para>
                          </entry>
                          <entry valign="top">
                            <para align="left">
                              <paratext>[DATE]</paratext>
                            </para>
                          </entry>
                        </row>
                        <row>
                          <entry valign="top">
                            <para align="left">
                              <paratext>"Standstill" period</paratext>
                            </para>
                          </entry>
                          <entry valign="top">
                            <para align="left">
                              <paratext>From [DATE] to [DATE]</paratext>
                            </para>
                          </entry>
                        </row>
                        <row>
                          <entry valign="top">
                            <para align="left">
                              <paratext>Confirm contract award</paratext>
                            </para>
                          </entry>
                          <entry valign="top">
                            <para align="left">
                              <paratext>[DATE]</paratext>
                            </para>
                          </entry>
                        </row>
                        <row>
                          <entry valign="top">
                            <para align="left">
                              <paratext>Contract start and start of mobilisation period</paratext>
                            </para>
                          </entry>
                          <entry valign="top">
                            <para align="left">
                              <paratext>[DATE]</paratext>
                            </para>
                          </entry>
                        </row>
                        <row>
                          <entry valign="top">
                            <para align="left">
                              <paratext>Target service commencement date</paratext>
                            </para>
                          </entry>
                          <entry valign="top">
                            <para align="left">
                              <paratext>[DATE]</paratext>
                            </para>
                          </entry>
                        </row>
                      </tbody>
                    </tgroup>
                  </table>
                </paratext>
              </para>
              <para>
                <paratext>Any changes to the procurement Timetable shall be notified to all Tenderers as soon as practicable.</paratext>
              </para>
            </subclause1>
            <subclause1 condition="optional" id="a490968">
              <identifier>2.2</identifier>
              <para>
                <paratext>
                  <bold>Tenderers' workshop</bold>
                </paratext>
              </para>
              <para>
                <paratext>A workshop for Tenderers will be held as detailed in the Timetable. All Tenderers are recommended to attend. Please confirm who will be representing your organisation (name and status) by the above stated date in order for the Authority to make the appropriate arrangements.</paratext>
              </para>
              <para>
                <paratext>Please send any questions to the address for the Clarifications Log three days before the workshop to ensure they can be answered at the workshop.</paratext>
              </para>
              <para>
                <paratext>
                  [The following [officers 
                  <bold>OR</bold>
                   representatives] from the following departments will attend the workshop: [DETAILS, NAMES AND POSITIONS] 
                  <bold>OR</bold>
                   Further details of the Tenderers' workshop shall be provided on confirmation of attendance].
                </paratext>
              </para>
              <drafting.note id="a390791" jurisdiction="">
                <head align="left" preservecase="true">
                  <headtext>Tenderers' workshop</headtext>
                </head>
                <division id="a000013" level="1">
                  <para>
                    <paratext>To allow Tenderers to put forward initial questions on the ITT, authorities may hold a bidders' conference or a supplier open day to which all Tenderers are invited. This has the advantage for the Authority of clarifying initial matters raised by Tenderers in front of all suppliers at the same time. This will need to be carefully orchestrated and will inevitably mean that Tenderers will find out which other Tenderers have been shortlisted and are interested in responding. The Authority should circulate the questions and answers raised at the Tenderers' workshop to all of the Tenderers after the event (particularly where a Tenderer may end up not being able to attend the workshop for whatever reason).</paratext>
                  </para>
                </division>
              </drafting.note>
            </subclause1>
            <subclause1 id="a461832">
              <identifier>2.3</identifier>
              <para>
                <paratext>
                  <bold>Deadline for receipt of Tenders</bold>
                </paratext>
              </para>
              <para>
                <paratext>
                  Responses to this ITT must arrive at the address and in the manner prescribed under 
                  <internal.reference refid="a71839">paragraph 3.1</internal.reference>
                   no later than the Deadline.
                </paratext>
              </para>
              <para>
                <paratext>Any Tender received after the Deadline shall not be opened or considered. The Authority may, however, in its own absolute discretion extend the Deadline and in such circumstances the Authority will notify all Tenderers of any change.</paratext>
              </para>
              <drafting.note id="a573497" jurisdiction="">
                <head align="left" preservecase="true">
                  <headtext>Extending the Deadline</headtext>
                </head>
                <division id="a000014" level="1">
                  <para>
                    <paratext>The Authority is obliged to extend the Deadline where:</paratext>
                  </para>
                  <list type="bulleted">
                    <list.item>
                      <para>
                        <paratext>Additional information, for whatever reason, although requested by the Tenderer in good time, was not supplied at least six days before the Deadline (or four days in the case of an accelerated procedure).</paratext>
                      </para>
                    </list.item>
                    <list.item>
                      <para>
                        <paratext>Significant changes are made to the procurement documents.</paratext>
                      </para>
                    </list.item>
                  </list>
                  <para>
                    <paratext>The length of the extension must be proportionate to the importance of the information or change.</paratext>
                  </para>
                  <para>
                    <paratext>There is no requirement to extend the Deadline when the information was not requested in good time or is insignificant in terms of its impact on Tenderers' ability to prepare a responsive Tender.</paratext>
                  </para>
                  <para>
                    <paratext>
                      (
                      <link href="7-601-8825" style="ACTLinkPLCtoPLC">
                        <ital>Regulation 47</ital>
                      </link>
                      <ital>, PCR 2015</ital>
                      .)
                    </paratext>
                  </para>
                </division>
              </drafting.note>
              <drafting.note id="a731642" jurisdiction="">
                <head align="left" preservecase="true">
                  <headtext>Late tenders</headtext>
                </head>
                <division id="a000015" level="1">
                  <para>
                    <paratext>The Authority should also make it clear when or if any discretion will be exercised in allowing late Tenders.</paratext>
                  </para>
                  <para>
                    <paratext>
                      <bold>Alternative drafting for Authority's discretion to accept late tenders</bold>
                    </paratext>
                  </para>
                  <display.quote>
                    <para>
                      <paratext>"Any Tender received after the Deadline shall not be opened or considered unless, in the opinion of the Authority, taking into account relevant evidence, the failure to meet the deadline was due to circumstances beyond the control of the Tenderer."</paratext>
                    </para>
                  </display.quote>
                  <para>
                    <paratext>Where there is a systemic failure (such as a failure of any electronic tendering system or strike action), the Authority should consider extending the deadline before it expires, rather than permitting late Tenders.</paratext>
                  </para>
                  <para>
                    <paratext>However, if the Authority permits a late Tender, it risks opening itself up to challenge from other Tenderers who were unable to complete a Tender on time aswell as those that did.</paratext>
                  </para>
                </division>
              </drafting.note>
              <drafting.note id="a681461" jurisdiction="">
                <head align="left" preservecase="true">
                  <headtext>Electronic tendering systems</headtext>
                </head>
                <division id="a000016" level="1">
                  <para>
                    <paratext>It is important that the ITT provides clear instructions on the method and timing of Tender submission. Suppliers may be unfamiliar with electronic tendering systems and may need additional support with, for example, uploading documents. It is wise to advise all Tenderers to leave enough time to submit their Tenders.</paratext>
                  </para>
                </division>
              </drafting.note>
            </subclause1>
            <subclause1 id="a74933">
              <identifier>2.4</identifier>
              <para>
                <paratext>
                  <bold>References</bold>
                </paratext>
              </para>
              <para>
                <paratext>Tenderers are requested to supply [NUMBER] references. References will be used to verify the technical proposals put forward in the Tender and will not be scored.</paratext>
              </para>
              <para>
                <paratext>[The Authority reserves the right to seek references from any of the Tenderer's customers, including the Authority, whether or not the Tenderer has listed such customers as referees.]</paratext>
              </para>
              <drafting.note id="a824582" jurisdiction="">
                <head align="left" preservecase="true">
                  <headtext>References</headtext>
                </head>
                <division id="a000017" level="1">
                  <para>
                    <paratext>References verifying a bidder's past experience (a selection, rather than an Award Criteria) should be obtained at the SQ stage.</paratext>
                  </para>
                  <para>
                    <paratext>
                      However, references may be relevant at award stage to support the Tenderers' written submissions (that is, evidence that their solutions are deliverable). For more information, see 
                      <internal.reference refid="a918282">Drafting note, Presentations</internal.reference>
                      <ital>.</ital>
                    </paratext>
                  </para>
                  <para>
                    <paratext>
                      For more information on the distinction between selection and award criteria, see 
                      <link href="7-579-9145" style="ACTLinkPLCtoPLC">
                        <ital>Practice note, Selection criteria and standard selection questionnaires (SQs)</ital>
                      </link>
                       and 
                      <link href="2-386-8761" style="ACTLinkPLCtoPLC">
                        <ital>Practice note, Evaluation of tenders</ital>
                      </link>
                      .
                    </paratext>
                  </para>
                </division>
              </drafting.note>
            </subclause1>
            <subclause1 condition="optional" id="a807636">
              <identifier>2.5</identifier>
              <para>
                <paratext>
                  <bold>Reference site visits</bold>
                </paratext>
              </para>
              <para>
                <paratext>
                  All Tenderers are asked to make available [NUMBER] reference site[s] [as identified in your response to the SQ]. The reference site visits will be required to [score the Evaluation Criteria as 
                  <bold>OR</bold>
                   moderate the scores obtained from your written submissions on the Evaluation Criteria] identified in the Tender Evaluation Model.
                </paratext>
              </para>
              <para>
                <paratext>Reference site visits are planned to take place on the dates set out in the Timetable. You should keep these dates free in case you are asked to make a reference site available.</paratext>
              </para>
              <para>
                <paratext>
                  [The Authority reserves the right to visit the sites of the top [NUMBER] scoring Tenderers or more, although, where the scores which are being [evaluated 
                  <bold>OR</bold>
                   moderated] by the visits are close enough that the [evaluation 
                  <bold>OR</bold>
                   moderation] could make a difference to the contract award, the authority will visit all relevant Tenderers' sites.]
                </paratext>
              </para>
              <drafting.note id="a843113" jurisdiction="">
                <head align="left" preservecase="true">
                  <headtext>Presentations and reference site visits: a two-stage evaluation process</headtext>
                </head>
                <division id="a000018" level="1">
                  <para>
                    <paratext>Reference site visits can be used to score specific criteria (provided this is not an assessment of the Tenderers' past experience) or to moderate written scores.</paratext>
                  </para>
                  <para>
                    <paratext>
                      The Authority may want to visit reference sites or hear presentations from only those Tenderers who stand a chance of winning the work, following evaluation of their written submissions. However, the open and restricted procedures do not envisage a split tender process in which only the top scorers proceed to a second-stage evaluation. (The competitive procedure with negotiation, the 
                      <link href="0-385-1375" style="ACTLinkPLCtoPLC">
                        <bold>
                          <ital>competitive dialogue procedure</ital>
                        </bold>
                      </link>
                       or the innovation partnership allow for iterative processes (see 
                      <link href="9-385-0442" style="ACTLinkPLCtoPLC">
                        <ital>Practice note, Competitive dialogue procedure</ital>
                      </link>
                      . It is also open to the Authority to adopt or adapt one of those processes for procurements for Schedule 3 contracts.) The law in this area is, therefore, open to interpretation, but three possibilities emerge:
                    </paratext>
                  </para>
                  <list type="bulleted">
                    <list.item>
                      <para>
                        <paratext>The Authority visits reference sites or hears presentations from all Tenderers.</paratext>
                      </para>
                    </list.item>
                    <list.item>
                      <para>
                        <paratext>The Authority invites only the top scorers who are way ahead of their competitors to proceed. The risk of challenge is likely to be low if the Authority rejects only those Tenderers who are so far behind their competitors that even if they scored maximum available marks for this part of the process, they could not win.</paratext>
                      </para>
                    </list.item>
                    <list.item>
                      <para>
                        <paratext>Alternatively, the Authority may want to impose a cut-off, for example, that it reserves the right to take only the top three to five scoring Tenderers through (irrespective of how close their scores are) to a second round of assessment. This is a riskier approach and is not recommended.</paratext>
                      </para>
                    </list.item>
                  </list>
                  <para>
                    <paratext>Presentations and reference site visits are not, in themselves, Evaluation Criteria. They can be used to evaluate technical criteria and these should be specified. Alternatively, they can also be used to moderate the written submissions and attract no separate marks. The Authority must specify how the presentations or reference site visits are being used and which of the Evaluation Criteria will be scored or moderated in this way.</paratext>
                  </para>
                  <para>
                    <paratext>If the Authority chooses to only visit reference sites or hear presentations from the top-scoring Tenderers, it must ensure that:</paratext>
                  </para>
                  <list type="bulleted">
                    <list.item>
                      <para>
                        <paratext>If the reference site visits or presentations attract specific marks, all those Tenderers who could have a chance of winning the work are invited (taking into account that the lowest-scoring Tenderers following evaluation of the written submission may score highly and the highest-scoring Tenderers, poorly).</paratext>
                      </para>
                    </list.item>
                    <list.item>
                      <para>
                        <paratext>If the reference site visits or presentations are used to moderate specific marks, all those Tenderers who could have a chance of winning the work are invited (taking into account that the scores of the lowest-scoring Tenderers could be moderated upwards and the highest scoring Tenderers' scores could be moderated downwards). This exercise is further complicated if a large number of criteria are capable of moderation.</paratext>
                      </para>
                    </list.item>
                  </list>
                  <para>
                    <paratext>If the presentations or reference site visits attract their own marks, the marks from the written submission can be added to those allocated for the reference site visits or presentation to provide the overall score.</paratext>
                  </para>
                  <para>
                    <paratext>The position is different for procurements which:</paratext>
                  </para>
                  <list type="bulleted">
                    <list.item>
                      <para>
                        <paratext>Use iterative stages, such as the competitive dialogue and competitive negotiated procedures.</paratext>
                      </para>
                    </list.item>
                    <list.item>
                      <para>
                        <paratext>Fall outside the PCR 2015.</paratext>
                      </para>
                    </list.item>
                    <list.item>
                      <para>
                        <paratext>Fall within Schedule 3 for which no set procedures are prescribed. Therefore, a split tender process (third bullet point above) is probably permitted, provided it is fair, transparent and non-discriminatory.</paratext>
                      </para>
                    </list.item>
                  </list>
                </division>
              </drafting.note>
            </subclause1>
            <subclause1 condition="optional" id="a669230">
              <identifier>2.6</identifier>
              <para>
                <paratext>
                  <bold>Software or product demonstration</bold>
                </paratext>
              </para>
              <para>
                <paratext>
                  You will need to include a demonstration of the [software] solution proposed for the Contract [as part of the reference site visit (see 
                  <internal.reference refid="a1029112">paragraph 4</internal.reference>
                   for more information)].
                </paratext>
              </para>
              <drafting.note id="a1026524" jurisdiction="">
                <head align="left" preservecase="true">
                  <headtext>Software or product demonstration</headtext>
                </head>
                <division id="a000019" level="1">
                  <para>
                    <paratext>The above wording can be used where the Tenderers must carry out a demonstration of software or other product, rather than provide access to a reference site:</paratext>
                  </para>
                </division>
              </drafting.note>
            </subclause1>
            <subclause1 condition="optional" id="a884067">
              <identifier>2.7</identifier>
              <para>
                <paratext>
                  <bold>Presentations</bold>
                </paratext>
              </para>
              <para>
                <paratext>
                  A maximum of the [top three scoring 
                  <bold>OR</bold>
                   [NUMBER]] Tenderers will be invited to deliver a presentation to representatives of the Authority [and other organisations as appropriate] in support of their Tenders, as set out in the Timetable. You should keep this date free in case you are asked to attend.
                </paratext>
              </para>
              <para>
                <paratext>
                  The presentations will be used to [evaluate the Evaluation Criteria 
                  <bold>OR</bold>
                   moderate the written submissions for the Evaluation Criteria] specified in the Tender Evaluation Model.
                </paratext>
              </para>
              <para>
                <paratext>
                  [The panel will consist of the following [officers 
                  <bold>OR</bold>
                   representatives] from the following departments: [DETAILS, NAMES OR POSITIONS].
                </paratext>
              </para>
              <para>
                <paratext>
                  <bold>OR</bold>
                </paratext>
              </para>
              <para>
                <paratext>The names and positions of those attending from the Authority will be notified to all Tenderers in advance of the presentation.]</paratext>
              </para>
              <para>
                <paratext>[Topics for discussion for the presentation will be issued no later than [NUMBER] days before the presentation.]</paratext>
              </para>
              <drafting.note id="a918282" jurisdiction="">
                <head align="left" preservecase="true">
                  <headtext>Presentations</headtext>
                </head>
                <division id="a000020" level="1">
                  <para>
                    <paratext>
                      For information on the presentations and evaluation, see 
                      <internal.reference refid="a843113">Drafting note, Presentations and reference site visits: a two-stage evaluation process</internal.reference>
                      .
                    </paratext>
                  </para>
                  <para>
                    <paratext>The Authority must notify Tenderers of the criteria that will be evaluated or moderated at the presentation. However, they are not required to issue specific questions before the presentation.</paratext>
                  </para>
                </division>
              </drafting.note>
            </subclause1>
            <subclause1 id="a104834">
              <identifier>2.8</identifier>
              <para>
                <paratext>
                  <bold>Contract award</bold>
                </paratext>
              </para>
              <para>
                <paratext>The Authority may award Contract(s) on the basis of a [Tender] OR [Reference Bid or a Variant Bid] submitted in accordance with the instructions below.</paratext>
              </para>
              <para>
                <paratext>Contract award is subject to the formal approval process of the Authority. Until all necessary approvals are obtained and the standstill period completed, no Contract(s) will be entered into.</paratext>
              </para>
              <para>
                <paratext>Once the Authority has reached a decision in respect of a contract award, it will notify all bidders of that decision and provide for a standstill period in accordance with the PCR 2015 before entering into any Contract(s).</paratext>
              </para>
              <drafting.note id="a609294" jurisdiction="">
                <head align="left" preservecase="true">
                  <headtext>Standstill period</headtext>
                </head>
                <division id="a000021" level="1">
                  <para>
                    <paratext>The standstill period ends at midnight at the end of the tenth day after the date on which the Authority sends the award decision letter (by fax or electronically).</paratext>
                  </para>
                  <para>
                    <paratext>Where the standstill letter is sent by means other than fax or email, the standstill period ends at whichever of the following occurs first:</paratext>
                  </para>
                  <list type="bulleted">
                    <list.item>
                      <para>
                        <paratext>Midnight at the end of the 15th day after the relevant sending date.</paratext>
                      </para>
                    </list.item>
                    <list.item>
                      <para>
                        <paratext>Midnight at the end of the 10th day after the date on which the last of the economic operators to receive such a notice receives it.</paratext>
                      </para>
                    </list.item>
                  </list>
                  <para>
                    <paratext>
                      (
                      <link href="5-601-8845" style="ACTLinkPLCtoPLC">
                        <ital>regulation 87</ital>
                      </link>
                      <ital>, PCR 2015</ital>
                      ).
                    </paratext>
                  </para>
                  <para>
                    <paratext>
                      For more information on the standstill period, see 
                      <link href="0-500-9991" style="ACTLinkPLCtoPLC">
                        <ital>Practice note, Remedies in public procurement law</ital>
                      </link>
                      .
                    </paratext>
                  </para>
                  <para>
                    <paratext>
                      For standard letters and drafting notes, see 
                      <link href="5-384-2185" style="ACTLinkPLCtoPLC">
                        <ital>Practice note, Procurement correspondence</ital>
                      </link>
                      .
                    </paratext>
                  </para>
                </division>
              </drafting.note>
            </subclause1>
            <subclause1 id="a306172">
              <identifier>2.9</identifier>
              <para>
                <paratext>
                  <bold>Debrief</bold>
                </paratext>
              </para>
              <para>
                <paratext>The contract award notification will be sent to each Tenderer. The Authority will inform all unsuccessful Tenderers of the identity and relative advantages and characteristics of the successful Tender as compared with the addressee's Tender.</paratext>
              </para>
              <drafting.note id="a1044214" jurisdiction="">
                <head align="left" preservecase="true">
                  <headtext>Debriefing requirements</headtext>
                </head>
                <division id="a000022" level="1">
                  <para>
                    <paratext>
                      For more information, see 
                      <link href="0-500-9991" style="ACTLinkPLCtoPLC">
                        <ital>Practice note, Remedies in public procurement law</ital>
                      </link>
                       and 
                      <link href="7-616-7165" style="ACTLinkPLCtoPLC">
                        <ital>Standard document, Letter informing unsuccessful supplier of outcome of procurement with debrief (PCR 2015)</ital>
                      </link>
                    </paratext>
                  </para>
                </division>
              </drafting.note>
            </subclause1>
          </clause>
          <clause id="a268968">
            <identifier>3.</identifier>
            <head align="left" preservecase="true">
              <headtext>Tender completion information</headtext>
            </head>
            <subclause1 id="a71839">
              <identifier>3.1</identifier>
              <para>
                <paratext>
                  <bold>Formalities</bold>
                </paratext>
              </para>
              <para>
                <paratext>[All documents comprising the Tender must be completed and uploaded to the e-tendering portal by [DATE] [TIME] [Deadline.]</paratext>
              </para>
              <para>
                <paratext>[INSERT ANY REQUIREMENTS SPECIFIC TO AUTHORITY'S E-TENDERING TOOL.]</paratext>
              </para>
              <para>
                <paratext>[The following requirements must be adhered to when submitting Tenders:</paratext>
              </para>
              <list type="bulleted">
                <list.item>
                  <para>
                    <paratext>The pages of the Tender documents must be numbered sequentially as "Page [x] of [xx]" and include the date and title of the document on each page of the main body.</paratext>
                  </para>
                </list.item>
                <list.item>
                  <para>
                    <paratext>Any additional pre-existing material which is necessary to support the Tender should be included as schedules with cross-references to this material in the main body of the Tender. Cross-references to this ITT should also be included in the Tender whenever this is relevant.</paratext>
                  </para>
                </list.item>
                <list.item>
                  <para>
                    <paratext>Where documents are embedded within other documents, Tenderers must upload separate copies of the embedded documents.</paratext>
                  </para>
                </list.item>
                <list.item>
                  <para>
                    <paratext>The Tender must be in English and drafted in accordance with the drafting guidance set out in this ITT.</paratext>
                  </para>
                </list.item>
                <list.item>
                  <para>
                    <paratext>Each Tender [(whether a Reference Bid or a Variant Bid)] must be uniquely named or referenced.</paratext>
                  </para>
                </list.item>
                <list.item>
                  <para>
                    <paratext>A table of contents must be provided.</paratext>
                  </para>
                </list.item>
                <list.item>
                  <para>
                    <paratext>The Tender must be fully cross-referenced.</paratext>
                  </para>
                </list.item>
                <list.item>
                  <para>
                    <paratext>A list of supporting material must be supplied.</paratext>
                  </para>
                </list.item>
                <list.item>
                  <para>
                    <paratext>Tenderers should use [FONT TYPE AND SIZE].</paratext>
                  </para>
                </list.item>
                <list.item>
                  <para>
                    <paratext>Line spacing must be [SPACING SIZE] or more.</paratext>
                  </para>
                </list.item>
              </list>
              <para>
                <paratext>The Tender must be clear, concise and complete. The Authority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paratext>
              </para>
              <para>
                <paratext>
                  [The Tenderer must upload a duly executed Form of Tender (
                  <internal.reference refid="a893025">Schedule 11</internal.reference>
                  ).] 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In the case of a sole trader, they should sign and give their name in full together with the name under which they are trading.
                </paratext>
              </para>
            </subclause1>
            <subclause1 condition="optional" id="a210696">
              <identifier>3.2</identifier>
              <para>
                <paratext>
                  <bold>Executive summary</bold>
                </paratext>
              </para>
              <para>
                <paratext>Each Tenderer must also provide an executive summary of its Tender. Each Tenderer must include in its executive summary:</paratext>
              </para>
              <list type="bulleted">
                <list.item>
                  <para>
                    <paratext>An outline of the way in which the Authority's requirements are to be met by its proposal.</paratext>
                  </para>
                </list.item>
                <list.item>
                  <para>
                    <paratext>A summary of all the services offered by the Tenderer in response to the ITT.</paratext>
                  </para>
                </list.item>
                <list.item>
                  <para>
                    <paratext>An overview of the Tenderer's overall costs and proposals in relation to pricing.</paratext>
                  </para>
                </list.item>
                <list.item>
                  <para>
                    <paratext>A clear statement of whether it is a consortium or a group of companies with one supplier.</paratext>
                  </para>
                </list.item>
                <list.item>
                  <para>
                    <paratext>A clear statement of its commitment to meet the Authority's requirements and the pricing, payment and performance model.</paratext>
                  </para>
                </list.item>
                <list.item>
                  <para>
                    <paratext>Confirmation that the Tender(s) will remain open for a period of [NUMBER] days.</paratext>
                  </para>
                </list.item>
                <list.item>
                  <para>
                    <paratext>Written confirmation of no adverse change since the SQ stage in its financial standing and any other information provided at that stage.</paratext>
                  </para>
                </list.item>
                <list.item>
                  <para>
                    <paratext>Notification of any change in control, composition or membership (if any) that has taken place after its submission of its expression of interest.</paratext>
                  </para>
                </list.item>
                <list.item>
                  <para>
                    <paratext>[Any other requirements of the Authority (for example, certificates of non-collusion, non-canvassing and so on).]</paratext>
                  </para>
                </list.item>
              </list>
              <para>
                <paratext>If changes subsequently occur in relation to the statements set out in the executive summary, the applicable Tenderer must promptly notify the Authority of them. The Authority reserves the right to disqualify any Tenderer that fails to duly notify the Authority. Tenderers are also reminded of the eligibility requirements that apply to the procurement process at all times. In particular, these include the provisions set out in regulation 57 of the PCR 2015 and the minimum standards set out in the SQ. Any change in the eligibility of a Tenderer must be notified immediately to the Authority in writing and may result in that Tenderer being disqualified from any further participation in the procurement process.</paratext>
              </para>
              <drafting.note id="a338216" jurisdiction="">
                <head align="left" preservecase="true">
                  <headtext>Executive summary</headtext>
                </head>
                <division id="a000023" level="1">
                  <para>
                    <paratext>Executive summaries of the Tender or covering letters may not be required in every case.</paratext>
                  </para>
                </division>
              </drafting.note>
            </subclause1>
            <subclause1 id="a794123">
              <identifier>3.3</identifier>
              <para>
                <paratext>
                  <bold>Submission of Tenders</bold>
                </paratext>
              </para>
              <para>
                <paratext>Each Tenderer:</paratext>
              </para>
              <list type="bulleted">
                <list.item>
                  <para>
                    <paratext>Must submit one Tender [in respect of each Lot that the Tenderer has been invited to respond to by the Authority and for which it wishes to make a bid].</paratext>
                  </para>
                </list.item>
                <list.item>
                  <para>
                    <paratext>[May submit one or more Tenders in respect of one or more combinations of Lots showing any financial benefits accruing to the Authority if the Tenderer were to win more than one Lot.]</paratext>
                  </para>
                </list.item>
                <list.item>
                  <para>
                    <paratext>[May submit Variant Bids, subject to the conditions set out below.]</paratext>
                  </para>
                </list.item>
              </list>
              <para>
                <paratext>
                  [The 
                  <bold>OR</bold>
                   Each] Tender must meet the Authority's minimum requirements, operate as a standalone bid and not be dependent on any other bid or any other factors external to the Tender itself. That is, [the 
                  <bold>OR</bold>
                   each] Tender must be capable of being accepted by the Authority in its own right.
                </paratext>
              </para>
            </subclause1>
            <subclause1 condition="optional" id="a545202">
              <identifier>3.4</identifier>
              <para>
                <paratext>
                  <bold>Variant Bids</bold>
                </paratext>
              </para>
              <para>
                <paratext>
                  Tenderers are permitted to submit [[NUMBER] 
                  <bold>OR</bold>
                   any number of] Variant Bids (
                  <bold>Variant Bids</bold>
                  ) to the Authority (subject to the requirements of a Variant Bid set out in this paragraph).
                </paratext>
              </para>
              <para>
                <paratext>A Variant Bid must meet the minimum requirements applicable to a Reference Bid, except for any changes made in respect of the following options (a Tenderer may choose to include any or all of these variant options in a Variant Bid):</paratext>
              </para>
              <list type="bulleted">
                <list.item>
                  <para>
                    <paratext>[SET OUT OPTIONS (FOR EXAMPLE, SERVICE LEVEL OPTION, PAYMENT MECHANISM OPTION OR ADDITIONAL SERVICE COMPONENT OPTION).]</paratext>
                  </para>
                </list.item>
              </list>
              <para>
                <paratext>A Variant Bid will only be considered once the Authority has determined that the Tenderer has submitted a compliant Reference Bid [in respect of each of the relevant Lots covered by the Variant Bid].</paratext>
              </para>
              <para>
                <paratext>A Variant Bid must not be used for the purposes of imposing the Tenderer's own conditions of service provision.</paratext>
              </para>
              <para>
                <paratext>If a Tenderer is in any doubt about the acceptability of any proposed Variant Bid, it may request clarification from the Authority before formal submission.</paratext>
              </para>
              <para>
                <paratext>Tenderers must:</paratext>
              </para>
              <list type="bulleted">
                <list.item>
                  <para>
                    <paratext>State which of the variants or which combination of the variants above applies to the Variant Bid.</paratext>
                  </para>
                </list.item>
                <list.item>
                  <para>
                    <paratext>Provide any information requested regarding the particular type(s) of Variant Bid.</paratext>
                  </para>
                </list.item>
                <list.item>
                  <para>
                    <paratext>Provide a summary of the costing and solution differences.</paratext>
                  </para>
                </list.item>
                <list.item>
                  <para>
                    <paratext>Detail the benefits to the Authority of those differences against the relevant Reference Bid(s).</paratext>
                  </para>
                </list.item>
              </list>
              <drafting.note id="a804149" jurisdiction="">
                <head align="left" preservecase="true">
                  <headtext>Variant Bids</headtext>
                </head>
                <division id="a000024" level="1">
                  <para>
                    <paratext>Contracting authorities should exercise caution when permitting Variant Bids, as they can be problematic to evaluate. However, they are a useful means of permitting Tenderers to propose innovative solutions for service delivery (assuming the Authority's own pre-procurement market research did not identify these options). For example:</paratext>
                  </para>
                  <list type="bulleted">
                    <list.item>
                      <para>
                        <paratext>Where the Services are split into Lots, unless such an option is already included in the ITT, a Variant Bid may be used to propose an alternative pricing mechanism enabling the Authority to benefit from economies of scale if the Tenderer were to be awarded more than one Lot.</paratext>
                      </para>
                    </list.item>
                    <list.item>
                      <para>
                        <paratext>Where the Specification is input based, but where the Evaluation Criteria focus on the outcome for the Authority.</paratext>
                      </para>
                    </list.item>
                    <list.item>
                      <para>
                        <paratext>To introduce amendments to the Contract terms. However, this is difficult to evaluate and is not recommended for procurements using the restricted procedure. It is usually easier to deal with questions about the Contract terms under the Clarifications process.</paratext>
                      </para>
                    </list.item>
                  </list>
                  <para>
                    <paratext>If the Authority decides to permit Variant Bids, to ensure it achieves the best outcome, it must:</paratext>
                  </para>
                  <list type="bulleted">
                    <list.item>
                      <para>
                        <paratext>
                          Specify the minimum requirements to be met by the Variants and any specific requirements for their presentation (
                          <ital>regulation 45(4), PCR 2015</ital>
                          ), for example, which elements of the requirements (Specification) must be met in full and which may be varied.
                        </paratext>
                      </para>
                    </list.item>
                    <list.item>
                      <para>
                        <paratext>
                          Ensure its Evaluation Criteria allows for Variant Bids to be considered fairly alongside Reference Bids (see 
                          <link href="5-385-1368" style="ACTLinkPLCtoPLC">
                            <ital>Reference Bids</ital>
                          </link>
                          ) (
                          <link href="3-601-8865" style="ACTLinkPLCtoPLC">
                            <ital>regulation 45(5)</ital>
                          </link>
                          <ital>, PCR 2015</ital>
                          ).
                        </paratext>
                      </para>
                    </list.item>
                  </list>
                </division>
              </drafting.note>
            </subclause1>
            <subclause1 id="a462343">
              <identifier>3.5</identifier>
              <para>
                <paratext>
                  <bold>Contract terms</bold>
                </paratext>
              </para>
              <para>
                <paratext>
                  The draft Contract that the Authority proposes to use is attached at 
                  <internal.reference refid="a468549">Schedule 1</internal.reference>
                  . By submitting a Tender, Tenderers are agreeing to be bound by the terms of this ITT and the Contract without further negotiation or amendment.
                </paratext>
              </para>
              <para>
                <paratext>
                  If the terms of the Contract render the proposals in the Tenderer's Tender unworkable, the Tenderer should submit a clarification in accordance with 
                  <internal.reference refid="a817202">paragraph 1.8</internal.reference>
                   and the Authority will consider whether any amendment to the Contract is required. Any amendments shall be published through the Clarifications Log and shall apply to all Tenderers. Where both the amendment and the original drafting are acceptable and workable to the Authority, the Authority shall publish the amendment as an alternative to the original drafting. Tenderers should indicate if they prefer the amendment; otherwise the original drafting shall apply. Any amendments which are proposed, but not approved by the Authority through this process, will not be acceptable and may be construed as a rejection of the terms leading to the disqualification of the Tender.
                </paratext>
              </para>
              <drafting.note id="a466392" jurisdiction="">
                <head align="left" preservecase="true">
                  <headtext>Evaluating the response to the Contract terms</headtext>
                </head>
                <division id="a000025" level="1">
                  <para>
                    <paratext>This ITT assumes that the Contract terms are non-negotiable. However, some contracting authorities permit the Tenderers to mark-up the draft contract and score its commercial acceptability or risk allocation as part of the evaluation.</paratext>
                  </para>
                  <para>
                    <paratext>However, this presents problems where the open or restricted procedure is being used, during which the parties cannot negotiate. The above approach may, therefore, result in a bidder submitting amendments to the terms which are unacceptable to the Authority. Unless the Authority allows itself the discretion to reject such a bid as non-compliant, it may be obliged to award the contract to that Tenderer, if their Tender otherwise represents best value for money. Alternatively, if the Authority allows for bids to be rejected as non-compliant on the basis of the mark up to the contract terms, this may have the effect of rejecting a good Tenderer who failed to understand the process and used the mark-up as a first attempt to engage in a negotiation.</paratext>
                  </para>
                  <para>
                    <paratext>It is, therefore, simpler, especially for straightforward contracts, for the Authority to impose Contract terms which are reasonable and reflect industry norms. If there are any significant difficulties with the Tenderers accepting those terms, they can raise the issue through the clarification process.</paratext>
                  </para>
                  <para>
                    <paratext>
                      For more information, see 
                      <link href="2-386-8761" style="ACTLinkPLCtoPLC">
                        <ital>Practice note, Evaluation of tenders; Evaluation of terms and conditions</ital>
                      </link>
                      .
                    </paratext>
                  </para>
                </division>
              </drafting.note>
            </subclause1>
            <subclause1 id="a43840">
              <identifier>3.6</identifier>
              <para>
                <paratext>
                  <bold>Documents forming the contract</bold>
                </paratext>
              </para>
              <para>
                <paratext>The following documents shall form part of the Contract between the Authority and the Service Provider(s):</paratext>
              </para>
              <para>
                <paratext>[[LIST DOCUMENTS]</paratext>
              </para>
              <list type="bulleted">
                <list.item>
                  <para>
                    <paratext>Contract and its schedules.</paratext>
                  </para>
                </list.item>
                <list.item>
                  <para>
                    <paratext>Specification.</paratext>
                  </para>
                </list.item>
                <list.item>
                  <para>
                    <paratext>Schedules (such as service levels, site plans, asset lists, contracts list, list of transferring employees, relevant policies and so on).</paratext>
                  </para>
                </list.item>
                <list.item>
                  <para>
                    <paratext>A pricing model (as completed by the Service Provider).</paratext>
                  </para>
                </list.item>
                <list.item>
                  <para>
                    <paratext>
                      [Responses to requirements 
                      <bold>OR</bold>
                       method statement questions](as completed by the Service Provider).
                    </paratext>
                  </para>
                </list.item>
                <list.item>
                  <para>
                    <paratext>A list of commercially sensitive information (as completed by the successful Tenderer).]</paratext>
                  </para>
                </list.item>
              </list>
              <drafting.note id="a176542" jurisdiction="">
                <head align="left" preservecase="true">
                  <headtext>Documents forming the contract</headtext>
                </head>
                <division id="a000026" level="1">
                  <para>
                    <paratext>
                      Contracting authorities are obliged to publish all procurement documents, subject to limited exceptions, with the contract notice, see 
                      <link anchor="a407671" href="w-029-5992" style="ACTLinkPLCtoPLC">
                        <ital>Practice note, Advertising on the UK e-notification service: Find a Tender: General requirement to make procurement documents accessible</ital>
                      </link>
                      .
                    </paratext>
                  </para>
                  <para>
                    <paratext>
                      The ITT envisages that its Schedules shall be included as schedules to the eventual Contract, where relevant (see 
                      <link href="2-501-1525" style="ACTLinkPLCtoPLC">
                        <ital>Standard document, Services agreement for use by public sector bodies</ital>
                      </link>
                      ). The Authority may want to include the following information with the ITT:
                    </paratext>
                  </para>
                  <list type="bulleted">
                    <list.item>
                      <para>
                        <paratext>
                          <bold>Information about the current service.</bold>
                           This information enables the Tenderers to understand the existing service. Except where some of this information is included in the Specification for the new Contract, it should not form part of the final Contract (see 
                          <internal.reference refid="a884012">Drafting note, Providing details of existing service or current arrangements</internal.reference>
                          .)
                        </paratext>
                      </para>
                    </list.item>
                    <list.item>
                      <para>
                        <paratext>
                          <bold>Specification.</bold>
                           The specification constitutes a key part of the final Contract (see below).
                        </paratext>
                      </para>
                    </list.item>
                    <list.item>
                      <para>
                        <paratext>
                          <bold>Site plans.</bold>
                           For inclusion in the final Contract, if relevant.
                        </paratext>
                      </para>
                    </list.item>
                    <list.item>
                      <para>
                        <paratext>
                          <bold>Asset list.</bold>
                           For inclusion in the final Contract if any Authority or incumbent supplier assets are being transferred to or otherwise available for use by the Service Provider.
                        </paratext>
                      </para>
                    </list.item>
                    <list.item>
                      <para>
                        <paratext>
                          <bold>Contracts list.</bold>
                           For inclusion in the final Contract if any Authority or incumbent supplier contracts (for example, software licences) are being assigned or novated to the new supplier.
                        </paratext>
                      </para>
                    </list.item>
                    <list.item>
                      <para>
                        <paratext>
                          <bold>Applicable policies.</bold>
                           The Authority should include with the ITT any relevant policies that it requires the Service Provider to comply with (for example, on data security or health and safety). These policies will be incorporated into the final Contract.
                        </paratext>
                      </para>
                    </list.item>
                    <list.item>
                      <para>
                        <paratext>
                          <bold>Commercially sensitive information.</bold>
                           The Authority may give the Tenderers the opportunity to identify their commercially sensitive information. Although the Authority does not agree to keep the information confidential, it provides the Authority with guidance on when it should consult the Tenderer, before disclosing any of the information supplied by it under a FOI request. This list may form part of the final contract. It may not be convenient to list commercially sensitive information in contracts, as such lists may soon be out of date. It may be preferable for the parties to agree to consult if a FOI request is received for any information which could reasonably be viewed as commercially sensitive. For more information, see 
                          <link href="w-011-6127" style="ACTLinkPLCtoPLC">
                            <ital>Practice note, The application of FOIA exemptions and EIR exceptions to public procurement and public contracts information</ital>
                          </link>
                          .
                        </paratext>
                      </para>
                    </list.item>
                    <list.item>
                      <para>
                        <paratext>
                          <bold>Deed of guarantee.</bold>
                           If the Authority requires a guarantee, this will be included as a schedule to the final Contract. For more information, see 
                          <link href="3-203-0923" style="ACTLinkPLCtoPLC">
                            <ital>Standard document, Parent company guarantee (outsourcing)</ital>
                          </link>
                          .
                        </paratext>
                      </para>
                    </list.item>
                    <list.item>
                      <para>
                        <paratext>
                          <bold>Provisional list of employees who may transfer under TUPE</bold>
                           which should also be provided if the new service triggers a TUPE transfer under the 
                          <link href="2-505-5915" style="ACTLinkPLCtoPLC">
                            <ital>Transfer of Undertakings (Protection of Employment) Regulations 2006 (SI 2006/246)</ital>
                          </link>
                          . A final list will be included in the final Contract. However, the authority may not wish or be able to provide full details of the workforce at the date the contract notice is published. In that case, the authority should at least provide outline information. If the information is being withheld for reasons of confidentiality, the authority must inform Tenderers about access arrangements. (If the transferring employees are former public sector employees, the draft Contract should also include information about their current pension scheme and its conditions of participation, such as a draft admission agreement and, if necessary, a bond agreement.) This provisional list of transferring employees should be updated before the transfer date and the final list should be included in the Contract. For a template list, see 
                          <link href="4-386-2579" style="ACTLinkPLCtoPLC">
                            <ital>Standard document, TUPE: employee information spreadsheet on an outsourcing or re-tendering</ital>
                          </link>
                          .
                        </paratext>
                      </para>
                    </list.item>
                  </list>
                  <para>
                    <paratext>
                      For more information, see 
                      <link href="5-386-4771" style="ACTLinkPLCtoPLC">
                        <ital>Practice note, TUPE and tendering local authority service contracts</ital>
                      </link>
                      .
                    </paratext>
                  </para>
                  <division id="a242080" level="2">
                    <head align="left" preservecase="true">
                      <headtext>Specification</headtext>
                    </head>
                    <para>
                      <paratext>
                        In the Specification, the Authority should set out the detailed requirements for (each of) the Services. The more detail that can be included, the more comprehensive a response the Authority is likely to receive from each Tenderer and the easier it will be to compare Tenderers' responses on a like-for-like basis. There is often a balancing act between wanting to be provided with a comprehensive and detailed proposal on the one hand, without defining and pre-determining the solution on the other. For information on specifications, see 
                        <link href="5-542-5406" style="ACTLinkPLCtoPLC">
                          <ital>Practice note, Drafting specifications for services contracts (public sector)</ital>
                        </link>
                        .
                      </paratext>
                    </para>
                  </division>
                </division>
              </drafting.note>
            </subclause1>
            <subclause1 id="a336762">
              <identifier>3.7</identifier>
              <para>
                <paratext>
                  <bold>Consortia and subcontractors</bold>
                </paratext>
              </para>
              <para>
                <paratext>The Authority requires all Tenderers to identify whether any and, if so, which subcontracting or consortium arrangements apply in the case of their Tender, including the share (if any) of the Contract to be sub-contracted, the identity of the proposed sub-contractors, and which entity is proposed to be the Service Provider.</paratext>
              </para>
              <para>
                <paratext>For the purposes of this ITT, the following terms apply:</paratext>
              </para>
              <list type="bulleted">
                <list.item>
                  <para>
                    <paratext>
                      <bold>Consortium arrangement.</bold>
                       Where a number of economic operators come together to submit a bid for the Contract. The economic operators may already be part of an established consortium. Alternatively, the economic operators may constitute a temporary association which is intended to become a formalised structure (such as a special purpose vehicle (SPV) or a subcontracting arrangement) after the award of the Contract. Consortium structures may include a hub and spoke delivery model, a lead body model or an SPV.
                    </paratext>
                  </para>
                </list.item>
                <list.item>
                  <para>
                    <paratext>
                      <bold>Subcontracting arrangement.</bold>
                       Subcontracting could involve, for example, an economic operator bidding as a prime contractor and using a subcontractor or subcontractors to deliver some of the Services, or an economic operator bidding as a managing agent and using subcontractors to deliver all of the Services.
                    </paratext>
                  </para>
                </list.item>
              </list>
              <drafting.note id="a711900" jurisdiction="">
                <head align="left" preservecase="true">
                  <headtext>Consortia arrangements</headtext>
                </head>
                <division id="a000027" level="1">
                  <para>
                    <paratext>
                      This ITT envisages a wide range of consortium and sub-contracting arrangements which the Authority may wish to modify to meet its own requirements. For an examination of the procurement considerations for contracting authorities relating to consortia bidding and subcontracting see 
                      <link href="w-007-3927" style="ACTLinkPLCtoPLC">
                        <ital>Practice note, Consortia bidding and subcontracting in public procurement</ital>
                      </link>
                      .
                    </paratext>
                  </para>
                </division>
              </drafting.note>
            </subclause1>
            <subclause1 id="a671928">
              <identifier>3.8</identifier>
              <para>
                <paratext>
                  <bold>Warnings and disclaimers</bold>
                </paratext>
              </para>
              <para>
                <paratext>While the information contained in this ITT is believed to be correct at the time of issue, neither the Authority,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This exclusion does not extend to any fraudulent misrepresentation made by or on behalf of the Authority.</paratext>
              </para>
              <para>
                <paratext>If a Tenderer proposes to enter into a Contract with the Authority, it must rely on its own enquiries and on the terms and conditions set out in the Contract(s) (as and when finally executed), subject to the limitations and restrictions specified in it.</paratext>
              </para>
              <para>
                <paratext>Neither the issue of this ITT, nor any of the information presented in it, should be regarded as a commitment or representation on the part of the Authority (or any other person) to enter into a contractual arrangement.</paratext>
              </para>
            </subclause1>
            <subclause1 id="a400850">
              <identifier>3.9</identifier>
              <para>
                <paratext>
                  <bold>Confidentiality and Freedom of Information</bold>
                </paratext>
              </para>
              <para>
                <paratext>All information supplied by the Authority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paratext>
              </para>
              <para>
                <paratext>
                  As a public body, the Authority is subject to the provisions of the Freedom of Information Act 2000 (FOIA) and Environmental Information Regulations 2004 (S
                  <ital>I 2004/3391</ital>
                  ) (EIR) in respect of information it holds (including third party information). Any member of the public or other interested party may make a request for information. The Authority is also subject to various public sector transparency policies and legal requirements, including the placing of contract award notices on the Contracts Finder database which identify the contract values and successful supplier and the provision of information to candidates and tenderers in regulations 50 and 55 respectively of the PCR 2015.
                </paratext>
              </para>
              <para>
                <paratext>Tenderers should therefore be aware that information provided in connection with this procurement, or in connection with any contract awarded, may be disclosed by the Authority, unless the Authority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the Authority.</paratext>
              </para>
              <para>
                <paratext>
                  Tenderers may designate any information supplied as part of their tender response or otherwise in connection with the procurement as confidential or commercially sensitive by clearly identifying it as such to the Authority in the template provided at 
                  <internal.reference refid="a145332">Schedule 9</internal.reference>
                  . Blanket protective markings applied to the whole document will not be sufficient. While designating material as confidential or commercially sensitive or equivalent does not guarantee non-disclosure, the Authority will consider this as part of any disclosure decision.
                </paratext>
              </para>
              <drafting.note id="a479664" jurisdiction="">
                <head align="left" preservecase="true">
                  <headtext>Confidentiality and freedom of information</headtext>
                </head>
                <division id="a000028" level="1">
                  <para>
                    <paratext>
                      Under 
                      <link href="https://uk.practicallaw.thomsonreuters.com/6-601-9986?originationContext=document&amp;amp;transitionType=PLDocumentLink&amp;amp;contextData=(sc.Default)&amp;amp;ppcid=f91bd362e2c94db585aa40210ecab077" style="ACTLinkURL">
                        <ital>regulation 21</ital>
                      </link>
                       of the PCR 2015, a contracting authority must not disclose information forwarded to it by an economic operator which the economic operator has reasonably designated as confidential. Confidential information includes technical or trade secrets and the confidential aspects of tenders. The obligations under regulation 21 are subject to any disclosure obligations the public body has under the Freedom of Information Act 2000 and any other provision of Part 2 of the PCR 2015 relating to the advertising of awarded contracts and the provision of information to candidates and tenderers in regulations 50 and 55 respectively. See 
                      <link href="w-037-6691" style="ACTLinkPLCtoPLC">
                        <ital>Legal update, Judgment on preliminary reference ruling from Polish court on excessive treatment of confidential information in procurement procedures (ECJ)</ital>
                      </link>
                      .
                    </paratext>
                  </para>
                  <para>
                    <paratext>
                      Tenderers should be made aware of the possibility that information submitted as part of their tender responses may need to be disclosed by virtue of the Authority's transparency and disclosure obligations (for example, under the 
                      <link href="4-505-6037" style="ACTLinkPLCtoPLC">
                        <ital>FOIA</ital>
                      </link>
                      , 
                      <link href="3-508-2782" style="ACTLinkPLCtoPLC">
                        <ital>EIR</ital>
                      </link>
                       or other policies). Any decision to disclose will ultimately lie with the Authority, but it is commonplace to give tenderers the option to designate certain information they submit as commercially sensitive for authorities to take into account when considering whether and what to disclose.
                    </paratext>
                  </para>
                  <para>
                    <paratext>
                      For more information about contracting authorities' disclosure obligations under 
                      <link href="4-505-6037" style="ACTLinkPLCtoPLC">
                        <ital>FOIA</ital>
                      </link>
                      <ital> </ital>
                      and 
                      <link href="3-508-2782" style="ACTLinkPLCtoPLC">
                        <ital>EIR</ital>
                      </link>
                      , see:
                    </paratext>
                  </para>
                  <list type="bulleted">
                    <list.item>
                      <para>
                        <paratext>
                          <link href="w-007-8162" style="ACTLinkPLCtoPLC">
                            <ital>Practice note, Freedom of information in public procurement and public sector contracts: overview</ital>
                          </link>
                          .
                        </paratext>
                      </para>
                    </list.item>
                    <list.item>
                      <para>
                        <paratext>
                          <link href="w-011-6127" style="ACTLinkPLCtoPLC">
                            <ital>Practice note, The application of FOIA exemptions and EIR exceptions to public procurement and public contracts information</ital>
                          </link>
                          <ital>.</ital>
                        </paratext>
                      </para>
                    </list.item>
                    <list.item>
                      <para>
                        <paratext>
                          <link href="w-026-4537" style="ACTLinkPLCtoPLC">
                            <ital>Freedom of Information Act 2000: section 40 exemption for personal data (UK GDPR and DPA 2018)</ital>
                          </link>
                          <ital>.</ital>
                        </paratext>
                      </para>
                    </list.item>
                    <list.item>
                      <para>
                        <paratext>
                          <link href="w-013-0384" style="ACTLinkPLCtoPLC">
                            <ital>Checklist, Handling freedom of information requests for procurement and public contracts information</ital>
                          </link>
                          .
                        </paratext>
                      </para>
                    </list.item>
                  </list>
                  <division id="a327144" level="2">
                    <head align="left" preservecase="true">
                      <headtext>Tender responses containing personal data</headtext>
                    </head>
                    <para>
                      <paratext>
                        Tender responses (or other documents forming part of the response) may contain 
                        <link href="8-200-3413" style="ACTLinkPLCtoPLC">
                          <ital>personal data</ital>
                        </link>
                         relating to a tenderer's employees or contractors, such as their name, address or date of birth. Contracting authorities must comply with applicable data protection legislation when processing such data.
                      </paratext>
                    </para>
                    <para>
                      <paratext>
                        Given the nature of procurement exercises (and the fact that the contracting authority determines how to process such information), our view is that the contracting authority would most likely be acting as a 
                        <link href="5-107-5723" style="ACTLinkPLCtoPLC">
                          <ital>controller</ital>
                        </link>
                         and would therefore need to process any personal data contained in the tender responses submitted in accordance with UK data protection laws.
                      </paratext>
                    </para>
                    <para>
                      <paratext>
                        Since the end of the 
                        <link href="w-023-9796" style="ACTLinkPLCtoPLC">
                          <ital>UK-EU transition period</ital>
                        </link>
                         (31 December 2020), the 
                        <link href="w-026-8528" style="ACTLinkPLCtoPLC">
                          <ital>UK GPDR</ital>
                        </link>
                         has applied to UK contracting authorities and (together with the 
                        <link href="w-014-9417" style="ACTLinkPLCtoPLC">
                          <ital>Data Protection Act 2018</ital>
                        </link>
                         (DPA 2018) forms the bedrock of the UK data protection regime. For more information see Practice notes:
                      </paratext>
                    </para>
                    <list type="bulleted">
                      <list.item>
                        <para>
                          <paratext>
                            <link href="w-022-0576" style="ACTLinkPLCtoPLC">
                              <ital>UK GDPR and DPA 2018: quick guide</ital>
                            </link>
                            .
                          </paratext>
                        </para>
                      </list.item>
                      <list.item>
                        <para>
                          <paratext>
                            <link href="w-013-3757" style="ACTLinkPLCtoPLC">
                              <ital>Overview of UK GDPR</ital>
                            </link>
                            <ital>.</ital>
                          </paratext>
                        </para>
                      </list.item>
                      <list.item>
                        <para>
                          <paratext>
                            <link href="w-014-5998" style="ACTLinkPLCtoPLC">
                              <ital> Data Protection Act 2018: overview</ital>
                            </link>
                            .
                          </paratext>
                        </para>
                      </list.item>
                    </list>
                    <para>
                      <paratext>Among other things, the UK GDPR requires controllers to:</paratext>
                    </para>
                    <list type="bulleted">
                      <list.item>
                        <para>
                          <paratext>
                            Process personal data lawfully (that is, relying on one of the legal grounds for processing). Processing in the context of a public procurement will most likely be justifiable in performance of a task carried out in the public interest, or in exercise of official authority. For more, see 
                            <link anchor="a903087" href="w-013-3757" style="ACTLinkPLCtoPLC">
                              <ital>Practice note, Overview of UK GDPR: Lawful processing</ital>
                            </link>
                            .
                          </paratext>
                        </para>
                      </list.item>
                      <list.item>
                        <para>
                          <paratext>
                            Notify individuals about how their personal data will be handled even if that data has not been collected directly from those individuals (as will usually be the case with tenders). Exemptions from this requirement are available, such as where providing the information would be impossible or involve disproportionate effort on the part of the contracting authority. For more information on this requirement and exceptions, see 
                            <link anchor="a760792" href="w-013-3757" style="ACTLinkPLCtoPLC">
                              <ital>Practice note, Overview of the UK GDPR: Fair processing: information notices</ital>
                            </link>
                            <ital> </ital>
                            and 
                            <link anchor="a397132" href="w-013-3757" style="ACTLinkPLCtoPLC">
                              <ital>Data collected by third parties</ital>
                            </link>
                            .
                          </paratext>
                        </para>
                      </list.item>
                    </list>
                    <para>
                      <paratext>
                        For further information on the two points above see 
                        <link anchor="a856964" href="w-011-6435" style="ACTLinkPLCtoPLC">
                          <ital>Practice note, UK GDPR and DPA 2018: implications for the public sector: First data protection principle: lawful, fair and transparent processing</ital>
                        </link>
                        .
                      </paratext>
                    </para>
                    <para>
                      <paratext>
                        Authorities will need to review how best to comply with the information requirements, insofar as relevant to their public procurement exercises. Options to consider include displaying a separate privacy notice for public procurement exercises on their website or procurement portal or including the required information within their general privacy policy. It would be unusual for an ITT to deal with data protection issues, but some authorities may want to include a link to the relevant privacy policy or notice. For sample privacy notices (which are for use by companies rather than public authorities), see 
                        <link href="w-013-3605" style="ACTLinkPLCtoPLC">
                          <ital>Standard documents, Website privacy policy (UK) </ital>
                        </link>
                        and 
                        <link href="w-014-8428" style="ACTLinkPLCtoPLC">
                          <ital>Short form privacy notice (UK)</ital>
                        </link>
                      </paratext>
                    </para>
                    <para>
                      <paratext>
                        For further information on the implications of the UK data protection regime for contracting authorities (including data security and dealing with data subject access requests), see 
                        <link href="w-011-6435" style="ACTLinkPLCtoPLC">
                          <ital>Practice notes, UK GDPR and DPA 2018: implications for the public sector</ital>
                        </link>
                         and 
                        <link href="w-017-0973" style="ACTLinkPLCtoPLC">
                          <ital>UK GDPR and DPA 2018 exemptions and conditions: public sector</ital>
                        </link>
                        .
                      </paratext>
                    </para>
                    <para>
                      <paratext>
                        For an overview of the UK data protection regime post-Brexit, see 
                        <link href="w-026-2740" style="ACTLinkPLCtoPLC">
                          <ital>Practice notes, Brexit post-transition period: data protection (UK)</ital>
                        </link>
                         and 
                        <link href="w-016-7309" style="ACTLinkPLCtoPLC">
                          <ital>Brexit: implications for data protection</ital>
                        </link>
                      </paratext>
                    </para>
                  </division>
                </division>
              </drafting.note>
            </subclause1>
            <subclause1 id="a749288">
              <identifier>3.10</identifier>
              <para>
                <paratext>
                  <bold>Publicity</bold>
                </paratext>
              </para>
              <para>
                <paratext>No publicity regarding the Services or the award of any Contract will be permitted unless and until the Authority has given prior express written consent to the relevant communication. For example, no statements may be made to the media regarding the nature of any Tender, its contents or any proposals relating to it without the prior written consent of the Authority.</paratext>
              </para>
            </subclause1>
            <subclause1 id="a699927">
              <identifier>3.11</identifier>
              <para>
                <paratext>
                  <bold>Tenderer conduct and conflicts of interest</bold>
                </paratext>
              </para>
              <para>
                <paratext>Any attempt by Tenderers or their advisors to influence the contract award process in any way may result in the Tenderer being disqualified. Specifically, Tenderers shall not directly or indirectly at any time:</paratext>
              </para>
              <list type="bulleted">
                <list.item>
                  <para>
                    <paratext>Devise or amend the content of their Tender in accordance with any agreement or arrangement with any other person, other than in good faith with a person who is a proposed partner, supplier, consortium member or provider of finance.</paratext>
                  </para>
                </list.item>
                <list.item>
                  <para>
                    <paratext>Enter into any agreement or arrangement with any other person as to the form or content of any other Tender, or offer to pay any sum of money or valuable consideration to any person to effect changes to the form or content of any other Tender.</paratext>
                  </para>
                </list.item>
                <list.item>
                  <para>
                    <paratext>Enter into any agreement or arrangement with any other person that has the effect of prohibiting or excluding that person from submitting a Tender.</paratext>
                  </para>
                </list.item>
                <list.item>
                  <para>
                    <paratext>Canvass the Authority or any employees or agents of the Authority in relation to this procurement.</paratext>
                  </para>
                </list.item>
                <list.item>
                  <para>
                    <paratext>Offer, promise or give any person working for or engaged by the Authority a financial or other advantage as an inducement or reward for any improper performance of a function or activity relating to this procurement.</paratext>
                  </para>
                </list.item>
                <list.item>
                  <para>
                    <paratext>Attempt to obtain information from any of the employees or agents of the Authority or their advisors concerning another Tenderer or Tender.</paratext>
                  </para>
                </list.item>
              </list>
              <para>
                <paratext>Tenderers are responsible for ensuring that no direct or indirect conflicts of interest exist (whether personal, financial or otherwise) between the Tenderer, its employees and advisors, and the Authority, its employees and advisors. Tenderers must prevent, identify and remedy any conflicts of interest within their group structures and within Consortium or Subcontracting arrangements which may result in any distortion of competition. Any Tenderer who fails to comply with these requirements may be disqualified from the procurement at the discretion of the Authority.</paratext>
              </para>
            </subclause1>
            <subclause1 id="a582432">
              <identifier>3.12</identifier>
              <para>
                <paratext>
                  <bold>Authority's rights</bold>
                </paratext>
              </para>
              <para>
                <paratext>The Authority reserves the right to:</paratext>
              </para>
              <list type="bulleted">
                <list.item>
                  <para>
                    <paratext>Waive or change the requirements of this ITT from time to time without prior (or any) notice being given by the Authority.</paratext>
                  </para>
                </list.item>
                <list.item>
                  <para>
                    <paratext>Seek clarification in respect of any part of a Tenderer's submission.</paratext>
                  </para>
                </list.item>
                <list.item>
                  <para>
                    <paratext>Request Tenderers to submit, supplement, clarify or complete relevant information or documentation where it appears to be incomplete, erroneous or missing.</paratext>
                  </para>
                </list.item>
                <list.item>
                  <para>
                    <paratext>Disqualify any Tenderer that does not submit a compliant Tender in accordance with the instructions in this ITT.</paratext>
                  </para>
                </list.item>
                <list.item>
                  <para>
                    <paratext>Disqualify any Tenderer that is guilty of serious misrepresentation or of negligently providing misleading information in relation to its Tender, expression of interest, the SQ or the tender process.</paratext>
                  </para>
                </list.item>
                <list.item>
                  <para>
                    <paratext>Reject a Tender that is abnormally low.</paratext>
                  </para>
                </list.item>
                <list.item>
                  <para>
                    <paratext>Not award a contract to the Tenderer submitting the most economically advantageous Tender where it has established that the Tender does not comply with applicable obligations in the fields of environmental, social and labour law established by national law, collective agreements or by the international environmental, social and labour law provisions listed in Annex X to Directive 2014/24 as amended from time to time.</paratext>
                  </para>
                </list.item>
                <list.item>
                  <para>
                    <paratext>Withdraw this ITT at any time, or to re-invite Tenders on the same or any alternative basis.</paratext>
                  </para>
                </list.item>
                <list.item>
                  <para>
                    <paratext>Choose not to award any Contract [or Lot] as a result of the current procurement process or to abandon that process.</paratext>
                  </para>
                </list.item>
                <list.item>
                  <para>
                    <paratext>Make whatever changes it sees fit to the Timetable, structure or content of the procurement process, depending on approvals processes or for any other reason.</paratext>
                  </para>
                </list.item>
              </list>
            </subclause1>
            <subclause1 id="a934916">
              <identifier>3.13</identifier>
              <para>
                <paratext>
                  <bold>Bid costs</bold>
                </paratext>
              </para>
              <para>
                <paratext>The Authority will not be liable for any bid costs, expenditure, work or effort incurred by a Tenderer in proceeding with or participating in this procurement, including if the procurement process is terminated or amended by the Authority.</paratext>
              </para>
            </subclause1>
            <subclause1 id="a877464">
              <identifier>3.14</identifier>
              <para>
                <paratext>
                  <bold>Guarantees</bold>
                </paratext>
              </para>
              <para>
                <paratext>
                  Recipients of this ITT will note that 
                  <internal.reference refid="a138696">Schedule 10</internal.reference>
                   is a form of deed of guarantee. The Authority may have qualified the Tenderer on the assumption that, where the Tenderer is an operating company, it will be guaranteed by the parent company. As a result, the Authority may require each Tenderer to confirm the identity of the guarantor of its obligations under any Contract(s). This guarantor should be the ultimate parent company of the Tenderer, except in exceptional circumstances. In the case of consortia, the Authority will require confirmation that the consortium will provide either a parent company guarantee from the lead consortium member or its parent or an equivalent level of security.
                </paratext>
              </para>
            </subclause1>
          </clause>
          <clause id="a1029112">
            <identifier>4.</identifier>
            <head align="left" preservecase="true">
              <headtext>Tender evaluation model</headtext>
            </head>
            <subclause1 id="a338872">
              <identifier>4.1</identifier>
              <para>
                <paratext>
                  <bold>Award Criteria and Evaluation Criteria</bold>
                </paratext>
              </para>
              <para>
                <paratext>
                  Any Contract(s) awarded as a result of this procurement will be awarded on the basis of the offer that is the most economically advantageous to the Authority. The Award Criteria (
                  <bold>Award Criteria</bold>
                  ) are:
                </paratext>
              </para>
              <list type="bulleted">
                <list.item>
                  <para>
                    <paratext>[PERCENTAGE]% technical or quality.</paratext>
                  </para>
                </list.item>
                <list.item>
                  <para>
                    <paratext>[PERCENTAGE]% cost.</paratext>
                  </para>
                </list.item>
              </list>
              <para>
                <paratext>
                  Scores are arrived at following the application of the Evaluation Criteria (
                  <bold>Evaluation Criteria</bold>
                  ) set out below to the Tenderer's Tender.
                </paratext>
              </para>
              <para>
                <paratext>Tenderers are required to submit a 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paratext>
              </para>
              <para>
                <paratext>The Tender Evaluation Model showing the Evaluation Criteria and the maximum scores attributable to them is set out below.</paratext>
              </para>
              <para>
                <paratext>
                  [Where specified, a minimum pass mark (
                  <defn.term>Threshold</defn.term>
                  ) applies to the Evaluation Criteria. The Authority shall reject any Tender which does not meet the relevant Threshold in respect of one or more criteria.]
                </paratext>
              </para>
              <para>
                <paratext>
                  <table frame="all" pgwide="1">
                    <tgroup cols="6">
                      <colspec colname="1" colnum="1" colwidth="15"/>
                      <colspec colname="2" colnum="2" colwidth="19"/>
                      <colspec colname="3" colnum="3" colwidth="15"/>
                      <colspec colname="4" colnum="4" colwidth="19"/>
                      <colspec colname="5" colnum="5" colwidth="16"/>
                      <colspec colname="6" colnum="6" colwidth="13"/>
                      <tbody>
                        <row>
                          <entry valign="top">
                            <para align="left">
                              <paratext>
                                <bold>Evaluation Criteria: Commercial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[Price-comparison of total cost]</paratext>
                            </para>
                          </entry>
                          <entry valign="top">
                            <para>
                              <paratext/>
                            </para>
                          </entry>
                          <entry valign="top">
                            <para>
                              <paratext/>
                            </para>
                          </entry>
                          <entry valign="top">
                            <para>
                              <paratext/>
                            </para>
                          </entry>
                          <entry valign="top">
                            <para align="left">
                              <paratext>[FOR EXAMPLE, COMPLETED PRICE BREAKDOWN]</paratext>
                            </para>
                          </entry>
                          <entry valign="top">
                            <para align="left">
                              <paratext>Not applicable</paratext>
                            </para>
                          </entry>
                        </row>
                        <row>
                          <entry valign="top">
                            <para align="left">
                              <paratext>[Profit sharing or gain share arrangements]</paratext>
                            </para>
                          </entry>
                          <entry valign="top">
                            <para>
                              <paratext/>
                            </para>
                          </entry>
                          <entry valign="top">
                            <para>
                              <paratext/>
                            </para>
                          </entry>
                          <entry valign="top">
                            <para>
                              <paratext/>
                            </para>
                          </entry>
                          <entry valign="top">
                            <para align="left">
                              <paratext>[FOR EXAMPLE, WRITTEN SUBMISSIONS]</paratext>
                            </para>
                          </entry>
                          <entry valign="top">
                            <para align="left">
                              <paratext>Not applicable</paratext>
                            </para>
                          </entry>
                        </row>
                        <row>
                          <entry valign="top">
                            <para align="left">
                              <paratext>[OTHER EVALUATION CRITERIA]</paratext>
                            </para>
                          </entry>
                          <entry valign="top">
                            <para>
                              <paratext/>
                            </para>
                          </entry>
                          <entry valign="top">
                            <para>
                              <paratext/>
                            </para>
                          </entry>
                          <entry valign="top">
                            <para>
                              <paratext/>
                            </para>
                          </entry>
                          <entry valign="top">
                            <para align="left">
                              <paratext>[DETAIL]</paratext>
                            </para>
                          </entry>
                          <entry valign="top">
                            <para align="left">
                              <paratext>Not applicable</paratext>
                            </para>
                          </entry>
                        </row>
                      </tbody>
                    </tgroup>
                  </table>
                </paratext>
              </para>
              <para>
                <paratext>
                  <table frame="all" pgwide="1">
                    <tgroup cols="6">
                      <colspec colname="1" colnum="1" colwidth="17"/>
                      <colspec colname="2" colnum="2" colwidth="17"/>
                      <colspec colname="3" colnum="3" colwidth="14"/>
                      <colspec colname="4" colnum="4" colwidth="17"/>
                      <colspec colname="5" colnum="5" colwidth="16"/>
                      <colspec colname="6" colnum="6" colwidth="16"/>
                      <tbody>
                        <row>
                          <entry valign="top">
                            <para align="left">
                              <paratext>
                                <bold>Evaluation Criteria: Technical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[Staff transfer]</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[OTHER EVALUATION CRITERIA]</paratext>
                            </para>
                          </entry>
                          <entry valign="top">
                            <para>
                              <paratext/>
                            </para>
                          </entry>
                          <entry valign="top">
                            <para>
                              <paratext/>
                            </para>
                          </entry>
                          <entry valign="top">
                            <para>
                              <paratext/>
                            </para>
                          </entry>
                          <entry valign="top">
                            <para>
                              <paratext/>
                            </para>
                          </entry>
                          <entry valign="top">
                            <para>
                              <paratext/>
                            </para>
                          </entry>
                        </row>
                      </tbody>
                    </tgroup>
                  </table>
                </paratext>
              </para>
              <drafting.note id="a610720" jurisdiction="">
                <head align="left" preservecase="true">
                  <headtext>Evaluation Criteria</headtext>
                </head>
                <division id="a000029" level="1">
                  <para>
                    <paratext>
                      The Evaluation Criteria depend on the nature of the Services being procured. Some generic example questions, grouped under broad headings, are included in the drafting notes to 
                      <link href="4-599-9626" style="ACTLinkPLCtoPLC">
                        <ital>Standard document, Invitation to tender (PCR 2015): questions for tenderers</ital>
                      </link>
                      .
                    </paratext>
                  </para>
                  <para>
                    <paratext>If you are using references, presentations or reference site visits to evaluate criteria or to moderate scores, these should be clearly identified in the Tender Evaluation Model.</paratext>
                  </para>
                  <para>
                    <paratext>If you are applying a Threshold to any of the Evaluation Criteria, you should ensure it is not set too high for risk of being forced to discount an otherwise robust Tender.</paratext>
                  </para>
                  <para>
                    <paratext>
                      For information on evaluating Tenders (including what matters may be assessed and example scoring models), see 
                      <link href="2-386-8761" style="ACTLinkPLCtoPLC">
                        <ital>Practice note, Evaluation of tenders</ital>
                      </link>
                      .
                    </paratext>
                  </para>
                  <para>
                    <paratext>
                      If you are permitting Variant Bids, you must specify the basis on which they will be evaluated. For more information, see 
                      <internal.reference refid="a804149">Drafting note, Variant Bids</internal.reference>
                      .
                    </paratext>
                  </para>
                </division>
              </drafting.note>
            </subclause1>
            <subclause1 condition="optional" id="a574972">
              <identifier>4.2</identifier>
              <para>
                <paratext>
                  <bold>Evaluation of Variant Bids or Lots</bold>
                </paratext>
              </para>
              <para>
                <paratext>Variant Bids submitted by Tenderers will be evaluated against the same Evaluation Criteria and will use the same evaluation methodology as the Reference Bids.</paratext>
              </para>
              <para>
                <paratext>[ANY RELEVANT INFORMATION ABOUT THE EVALUATION OF LOTS]</paratext>
              </para>
              <drafting.note id="a677854" jurisdiction="">
                <head align="left" preservecase="true">
                  <headtext>Scoring lots</headtext>
                </head>
                <division id="a000030" level="1">
                  <para>
                    <paratext>Unless the same Service Provider wins all Lots, the Authority may want the ability to score Tenders based on their proposals for a joined-up service. If so, the Authority should include Evaluation Criteria which enables it to assess the Service Providers' commitment and ability to work in partnership across the Lots. However, if this issue is crucial to the Authority, splitting the contract into Lots in this way may be inappropriate.</paratext>
                  </para>
                </division>
              </drafting.note>
            </subclause1>
            <subclause1 id="a322035">
              <identifier>4.3</identifier>
              <para>
                <paratext>
                  <bold>Evaluation process</bold>
                </paratext>
              </para>
              <para>
                <paratext>
                  <bold>Technical or quality evaluation</bold>
                </paratext>
              </para>
              <para>
                <paratext>The technical evaluation will be scored in accordance with the table below.</paratext>
              </para>
              <para>
                <paratext>
                  <bold>Scoring matrix for the technical and quality criteria</bold>
                </paratext>
              </para>
              <para>
                <paratext>
                  <table frame="all" pgwide="1">
                    <tgroup cols="2">
                      <colspec colname="1" colnum="1" colwidth="14"/>
                      <colspec colname="2" colnum="2" colwidth="85"/>
                      <tbody>
                        <row>
                          <entry valign="top">
                            <para align="left">
                              <paratext>0</paratext>
                            </para>
                          </entry>
                          <entry valign="top">
                            <para align="left">
                              <paratext>Completely fails to meet required standard or does not provide a proposal.</paratext>
                            </para>
                          </entry>
                        </row>
                        <row>
                          <entry valign="top">
                            <para align="left">
                              <paratext>1</paratext>
                            </para>
                          </entry>
                          <entry valign="top">
                            <para align="left">
                              <paratext>Proposal significantly fails to meet the standards required, contains significant shortcomings or is inconsistent with other proposals.</paratext>
                            </para>
                          </entry>
                        </row>
                        <row>
                          <entry valign="top">
                            <para align="left">
                              <paratext>2</paratext>
                            </para>
                          </entry>
                          <entry valign="top">
                            <para align="left">
                              <paratext>Proposal falls short of achieving expected standard in a number of identifiable respects.</paratext>
                            </para>
                          </entry>
                        </row>
                        <row>
                          <entry valign="top">
                            <para align="left">
                              <paratext>3</paratext>
                            </para>
                          </entry>
                          <entry valign="top">
                            <para align="left">
                              <paratext>Proposal meets the required standard in most material respects but is lacking or inconsistent in others.</paratext>
                            </para>
                          </entry>
                        </row>
                        <row>
                          <entry valign="top">
                            <para align="left">
                              <paratext>4</paratext>
                            </para>
                          </entry>
                          <entry valign="top">
                            <para align="left">
                              <paratext>Proposal meets the required standard in all material respects.</paratext>
                            </para>
                          </entry>
                        </row>
                        <row>
                          <entry valign="top">
                            <para align="left">
                              <paratext>5</paratext>
                            </para>
                          </entry>
                          <entry valign="top">
                            <para align="left">
                              <paratext>Proposal meets the required standard in all material respects and exceeds some or all of the major requirements.</paratext>
                            </para>
                          </entry>
                        </row>
                      </tbody>
                    </tgroup>
                  </table>
                </paratext>
              </para>
              <drafting.note id="a831821" jurisdiction="">
                <head align="left" preservecase="true">
                  <headtext>Scoring matrix for the technical and quality criteria</headtext>
                </head>
                <division id="a000031" level="1">
                  <para>
                    <paratext>The scoring matrix envisages that 20% of the available marks are awarded to proposals that offer more than the Authority requires. This may or may not be appropriate, depending on the service. If the Authority uses this model, it should provide information to the Tenderers on which additions or enhancements it would consider represent added value beyond its stated requirements. If it does not, the Tender may include additional services, which are charged for, but which do not provide a real benefit to the Authority. If no additions or enhancements are required, an alternative scoring system can be used, under which top marks are awarded for responses which meet the Authority's requirements in full, but do not exceed them.</paratext>
                  </para>
                  <para>
                    <paratext>If the Authority considers that a 0-5 scoring matrix is too restrictive, it could use a 0-10 scoring matrix with a range of marks for each description to provide more flexibility for evaluators.</paratext>
                  </para>
                  <para>
                    <paratext>
                      For an alternative scoring matrix and a worked example of scoring pricing, see 
                      <link href="2-386-8761#a335366" style="ACTLinkPLCtoPLC">
                        <ital>Practice note, Evaluation of tenders: Use of a scoring model to evaluate the financial element</ital>
                      </link>
                      .
                    </paratext>
                  </para>
                </division>
              </drafting.note>
              <para>
                <paratext>
                  <bold>Pricing evaluation</bold>
                </paratext>
              </para>
              <para>
                <paratext>Bid prices will be scored:</paratext>
              </para>
              <para>
                <paratext>[On a comparative basis with the lowest bid receiving 100% of the available marks ([PERCENTAGE]% following weighting). All other bids will be compared [against that lowest bid]</paratext>
              </para>
              <para>
                <paratext>
                  <bold>OR</bold>
                </paratext>
              </para>
              <para>
                <paratext>Against the Authority's benchmark overall cost of £[AMOUNT] with the benchmark figure scoring 0%. Any bid which exceeds the Authority's benchmark shall be treated as non-compliant and rejected].</paratext>
              </para>
              <para>
                <paratext>[INSERT WORKED EXAMPLE OF FORMULA]</paratext>
              </para>
              <drafting.note id="a972297" jurisdiction="">
                <head align="left" preservecase="true">
                  <headtext>Specifying a contract value and pricing evaluation</headtext>
                </head>
                <division id="a000032" level="1">
                  <para>
                    <paratext>Contracting authorities may be nervous of specifying a contract value for fear of attracting bids which are above, at or just below that value. However, this figure must be disclosed if bids are to be evaluated against it.</paratext>
                  </para>
                  <para>
                    <paratext>There are two common methods of evaluating price, though these two basic models have many variants:</paratext>
                  </para>
                  <list type="bulleted">
                    <list.item>
                      <para>
                        <paratext>The Authority sets a benchmark price, usually a maximum or optimum price, with all bids scored on a comparative basis against that price.</paratext>
                      </para>
                    </list.item>
                    <list.item>
                      <para>
                        <paratext>No benchmark is set and the lowest bid price scores the maximum marks available for the price evaluation. All other prices are awarded scores depending on what percentage the lowest price is of their price.</paratext>
                      </para>
                    </list.item>
                  </list>
                  <para>
                    <paratext>The above wording will need to be amended to select the appropriate method or deleted and an alternative method inserted.</paratext>
                  </para>
                  <para>
                    <paratext>However, various issues and inconsistencies can arise through the use of formulae and it is therefore important to run dummy scores through the proposed model to eliminate any anomalies.</paratext>
                  </para>
                  <para>
                    <paratext>Where the Authority has a fixed budget, it may want to state that bids exceeding a specified limit will be deemed non-compliant and will be rejected. Otherwise it must rely on the Award Criteria to ensure it does not end up with a technically superior, but unaffordable solution.</paratext>
                  </para>
                  <para>
                    <paratext>
                      For more information and an alternative way of evaluating price,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how they are phrased. The contract terms could also encourage efficiencies by operating a gain-share mechanism through which savings will be shared between the parties (see 
                      <link href="0-202-4551#a326019" style="ACTLinkPLCtoPLC">
                        <ital>Standard documents, Outsourcing agreement: long form: Service improvement and technology refresh</ital>
                      </link>
                       and 
                      <link href="2-501-1525#a577926" style="ACTLinkPLCtoPLC">
                        <ital>Services agreement for use by public sector bodies: Change control, benchmarking and continuous improvement</ital>
                      </link>
                      ).
                    </paratext>
                  </para>
                  <para>
                    <paratext>If the Authority is permitting any third-party organisations to use the contract (whether by procuring on their behalf or under a framework arrangement), the Authority must ensure the contract value specified in the ITT and the contract notice reflects that potential spend.</paratext>
                  </para>
                </division>
              </drafting.note>
              <drafting.note id="a532966" jurisdiction="">
                <head align="left" preservecase="true">
                  <headtext>Life cycle costing</headtext>
                </head>
                <division id="a000033" level="1">
                  <para>
                    <paratext>
                      If the Authority proposes to use life cycle costing to assess value for money, its approach must be set out in the procurement documents. For information about life cycle costing, see 
                      <link href="2-386-8761" style="ACTLinkPLCtoPLC">
                        <ital>Practice note, Evaluation of tenders</ital>
                      </link>
                      .
                    </paratext>
                  </para>
                </division>
              </drafting.note>
            </subclause1>
          </clause>
          <clause id="a409596">
            <identifier>5.</identifier>
            <head align="left" preservecase="true">
              <headtext>TUPE</headtext>
            </head>
            <subclause1 id="a463002">
              <identifier>5.1</identifier>
              <para>
                <paratext>
                  <bold>Transferring employees</bold>
                </paratext>
              </para>
              <para>
                <paratext>
                  The Authority envisages that the employees working on the current service shall transfer to the Service Provider or its subcontractors, under the Transfer of Undertakings (Protection of Employment) Regulations 2006 (
                  <ital>SI 2006/246</ital>
                  ) (
                  <bold>TUPE</bold>
                  ) along with the Services. These employees are currently employed by:
                </paratext>
              </para>
              <list type="bulleted">
                <list.item>
                  <para>
                    <paratext>The Authority (Transferring Employees).</paratext>
                  </para>
                </list.item>
                <list.item>
                  <para>
                    <paratext>The incumbent supplier (Third Party Employees).</paratext>
                  </para>
                </list.item>
              </list>
              <para>
                <paratext>
                  Provisional lists of the [Transferring Employees] [and the] [Third-Party Employees] are contained in 
                  <internal.reference refid="a277553">Schedule 7</internal.reference>
                  .
                </paratext>
              </para>
              <para>
                <paratext>Tenderers' pricing models must include the costs associated with the TUPE transfer of these employees. [If the costs associated with a TUPE transfer (including pensions costs) are subsequently found to be lower than envisaged, the Service Provider shall make a corresponding reduction in the contract price.]</paratext>
              </para>
              <drafting.note id="a612167" jurisdiction="">
                <head align="left" preservecase="true">
                  <headtext>TUPE and pensions</headtext>
                </head>
                <division id="a000034" level="1">
                  <para>
                    <paratext>
                      The drafting envisages that employees will transfer from the Authority and the incumbent supplier, as reflected in 
                      <link href="2-501-1525" style="ACTLinkPLCtoPLC">
                        <ital>Standard document, Services agreement for use by public sector bodies</ital>
                      </link>
                      . This section and the relevant paragraphs can be amended to reflect the actual staff groups transferring. It is advisable to include a price variation provision in the Contract to reflect any inaccuracies in the 
                      <link href="2-505-5915" style="ACTLinkPLCtoPLC">
                        <ital>TUPE</ital>
                      </link>
                       information provided in the ITT and if, for any other reason, the costs associated with a TUPE transfer (including pensions costs) are subsequently found to be lower than envisaged. See also 
                      <link href="5-386-4771" style="ACTLinkPLCtoPLC">
                        <ital>Practice note, TUPE and tendering local authority services contracts</ital>
                      </link>
                      .
                    </paratext>
                  </para>
                </division>
              </drafting.note>
            </subclause1>
            <subclause1 id="a302783">
              <identifier>5.2</identifier>
              <para>
                <paratext>
                  <bold>Pension requirements</bold>
                </paratext>
              </para>
              <para>
                <paratext>[INSERT REQUIREMENTS IN RELATION TO PENSION PROVISION]</paratext>
              </para>
              <para>
                <paratext>Tenderers are required to include indicative costings of their proposed pension provisions.</paratext>
              </para>
              <drafting.note id="a707912" jurisdiction="">
                <head align="left" preservecase="true">
                  <headtext>Requirements for transferring public sector employees</headtext>
                </head>
                <division id="a000035" level="1">
                  <para>
                    <paratext>
                      For information about pensions liabilities see 
                      <link anchor="a274276" href="5-386-4771" style="ACTLinkPLCtoPLC">
                        <ital>Practice note, TUPE and tendering local authority services contracts: Pensions liabilities</ital>
                      </link>
                      . For information relating to legacy public sector pension schemes see 
                      <link anchor="a772727" href="8-205-6270" style="ACTLinkPLCtoPLC">
                        <ital>Practice note, Public-sector pension schemes: outsourcing: Fair Deal 2013</ital>
                      </link>
                      <ital> </ital>
                      ,  
                      <link anchor="a549087" href="8-205-6270" style="ACTLinkPLCtoPLC">
                        <ital>Practice note, Public-sector pension schemes: outsourcing: Treatment of LGPS in outsourcing transactions</ital>
                      </link>
                       and 
                      <link anchor="a235524" href="8-205-6270" style="ACTLinkPLCtoPLC">
                        <ital>Practice note, Public-sector pension schemes: outsourcing: Becoming an admitted body in the LGPS</ital>
                      </link>
                      . See also 
                      <link href="5-382-4153" style="ACTLinkPLCtoPLC">
                        <ital>Practice note, Managing pensions risk in local authority outsourcing transactions</ital>
                      </link>
                      .
                    </paratext>
                  </para>
                </division>
              </drafting.note>
            </subclause1>
          </clause>
          <clause id="a897680">
            <identifier>6.</identifier>
            <head align="left" preservecase="true">
              <headtext>Assessment questions for completion by tenderers</headtext>
            </head>
            <drafting.note id="a387026" jurisdiction="">
              <head align="left" preservecase="true">
                <headtext>Tenderer's submissions</headtext>
              </head>
              <division id="a000036" level="1">
                <para>
                  <paratext>
                    Example questions for Tenderers are contained in 
                    <link href="4-599-9626" style="ACTLinkPLCtoPLC">
                      <ital>Standard document, Invitation to tender (PCR 2015): questions for tenderers</ital>
                    </link>
                    . 
                    <bold>This document provides example drafting only and should not be used without appropriate tailoring to the Authority's specific requirements.</bold>
                  </paratext>
                </para>
              </division>
            </drafting.note>
            <drafting.note id="a949220" jurisdiction="">
              <head align="left" preservecase="true">
                <headtext>Schedules</headtext>
              </head>
              <division id="a000037" level="1">
                <para>
                  <paratext>
                    Many of the schedules to the ITT will form schedules to the contract. For information relating to the incorporation of these documents into the contract, see 
                    <internal.reference refid="a176542">Drafting note, Documents forming the contract</internal.reference>
                    .
                  </paratext>
                </para>
              </division>
            </drafting.note>
          </clause>
        </operative>
        <disclosure.schedule>
          <schedule id="a468549">
            <identifier>Schedule 1</identifier>
            <head align="left" preservecase="true">
              <headtext>Draft contract</headtext>
            </head>
            <drafting.note id="a784106" jurisdiction="">
              <head align="left" preservecase="true">
                <headtext>Draft contract</headtext>
              </head>
              <division id="a000038" level="1">
                <para>
                  <paratext>
                    See 
                    <link href="2-501-1525" style="ACTLinkPLCtoPLC">
                      <ital>Standard document, Services agreement for use by public sector bodies</ital>
                    </link>
                    .
                  </paratext>
                </para>
              </division>
            </drafting.note>
          </schedule>
          <schedule id="a385689">
            <identifier>Schedule 2</identifier>
            <head align="left" preservecase="true">
              <headtext>Specification</headtext>
            </head>
            <drafting.note id="a737336" jurisdiction="">
              <head align="left" preservecase="true">
                <headtext>Specification</headtext>
              </head>
              <division id="a000039" level="1">
                <para>
                  <paratext>
                    See 
                    <internal.reference refid="a242080">Drafting note, Specification</internal.reference>
                    .
                  </paratext>
                </para>
              </division>
            </drafting.note>
          </schedule>
          <schedule id="a165427">
            <identifier>Schedule 3</identifier>
            <head align="left" preservecase="true">
              <headtext>Information about the current service</headtext>
            </head>
          </schedule>
          <schedule id="a560636">
            <identifier>Schedule 4</identifier>
            <head align="left" preservecase="true">
              <headtext>Site plans</headtext>
            </head>
          </schedule>
          <schedule id="a188057">
            <identifier>Schedule 5</identifier>
            <head align="left" preservecase="true">
              <headtext>Asset list</headtext>
            </head>
          </schedule>
          <schedule id="a1010519">
            <identifier>Schedule 6</identifier>
            <head align="left" preservecase="true">
              <headtext>Contracts list</headtext>
            </head>
          </schedule>
          <schedule id="a277553">
            <identifier>Schedule 7</identifier>
            <head align="left" preservecase="true">
              <headtext>Provisional list of transferring employees</headtext>
            </head>
          </schedule>
          <schedule id="a476453">
            <identifier>Schedule 8</identifier>
            <head align="left" preservecase="true">
              <headtext>Applicable policies</headtext>
            </head>
          </schedule>
          <schedule id="a145332">
            <identifier>Schedule 9</identifier>
            <head align="left" preservecase="true">
              <headtext>Commercially sensitive information.</headtext>
            </head>
            <para>
              <paratext>
                <bold>Commercially sensitive information</bold>
              </paratext>
            </para>
            <para>
              <paratext>I declare that I wish the following information to be designated as commercially sensitive [and to be appended to the Contract at Schedule [NUMBER]].</paratext>
            </para>
            <clause id="a000040">
              <para>
                <paratext>
                  <table frame="all" pgwide="1">
                    <tgroup cols="1">
                      <colspec colname="1" colnum="1" colwidth="100"/>
                      <tbody>
                        <row>
                          <entry valign="top">
                            <para>
                              <paratext/>
                            </para>
                          </entry>
                        </row>
                      </tbody>
                    </tgroup>
                  </table>
                </paratext>
              </para>
            </clause>
            <para>
              <paratext>The reason(s) it is considered that this information should be exempt under FOIA is:</paratext>
            </para>
            <clause id="a000041">
              <para>
                <paratext>
                  <table frame="all" pgwide="1">
                    <tgroup cols="1">
                      <colspec colname="1" colnum="1" colwidth="100"/>
                      <tbody>
                        <row>
                          <entry valign="top">
                            <para>
                              <paratext/>
                            </para>
                          </entry>
                        </row>
                      </tbody>
                    </tgroup>
                  </table>
                </paratext>
              </para>
            </clause>
            <para>
              <paratext>
                The period of time for which it is considered this information should be exempt is [until award of Contract 
                <bold>OR</bold>
                 during the period of the Contract 
                <bold>OR</bold>
                 for a period of [NUMBER] years until [MONTH], [YEAR]].
              </paratext>
            </para>
            <clause id="a000042">
              <para>
                <paratext>
                  <table frame="all" pgwide="1">
                    <tgroup cols="1">
                      <colspec colname="1" colnum="1" colwidth="100"/>
                      <tbody>
                        <row>
                          <entry valign="top">
                            <para>
                              <paratext/>
                            </para>
                          </entry>
                        </row>
                      </tbody>
                    </tgroup>
                  </table>
                </paratext>
              </para>
              <para>
                <paratext>
                  <table frame="none" pgwide="1">
                    <tgroup cols="2">
                      <colspec colname="1" colnum="1" colwidth="30"/>
                      <colspec colname="2" colnum="2" colwidth="69"/>
                      <tbody>
                        <row>
                          <entry valign="top">
                            <para align="left">
                              <paratext>SIGNATURE:</paratext>
                            </para>
                          </entry>
                          <entry valign="top">
                            <para align="left">
                              <paratext>_________________________________________</paratext>
                            </para>
                          </entry>
                        </row>
                        <row>
                          <entry valign="top">
                            <para align="left">
                              <paratext>NAME (PRINT):</paratext>
                            </para>
                          </entry>
                          <entry valign="top">
                            <para align="left">
                              <paratext>_________________________________________</paratext>
                            </para>
                          </entry>
                        </row>
                        <row>
                          <entry valign="top">
                            <para align="left">
                              <paratext>POSITION:</paratext>
                            </para>
                          </entry>
                          <entry valign="top">
                            <para align="left">
                              <paratext>_________________________________________</paratext>
                            </para>
                          </entry>
                        </row>
                        <row>
                          <entry valign="top">
                            <para align="left">
                              <paratext>COMPANY:</paratext>
                            </para>
                          </entry>
                          <entry valign="top">
                            <para align="left">
                              <paratext>_________________________________________</paratext>
                            </para>
                          </entry>
                        </row>
                        <row>
                          <entry valign="top">
                            <para align="left">
                              <paratext>DATE:</paratext>
                            </para>
                          </entry>
                          <entry valign="top">
                            <para align="left">
                              <paratext>_________________________________________</paratext>
                            </para>
                          </entry>
                        </row>
                      </tbody>
                    </tgroup>
                  </table>
                </paratext>
              </para>
            </clause>
          </schedule>
          <schedule id="a138696">
            <identifier>Schedule 10</identifier>
            <head align="left" preservecase="true">
              <headtext>Deed of guarantee</headtext>
            </head>
          </schedule>
          <schedule id="a893025">
            <identifier>Schedule 11</identifier>
            <head align="left" preservecase="true">
              <headtext>Form of Tender</headtext>
            </head>
            <drafting.note id="a216456" jurisdiction="">
              <head align="left" preservecase="true">
                <headtext>Formalities: Electronic tendering system</headtext>
              </head>
              <division id="a000043" level="1">
                <para>
                  <paratext>The Authority may wish to exclude this document or incorporate it into the tendering portal or provide for Tenderers to indicate acceptance with a tick box or other device.</paratext>
                </para>
              </division>
            </drafting.note>
            <clause id="a000044">
              <para>
                <paratext>
                  <table frame="none" pgwide="1">
                    <tgroup cols="2">
                      <colspec colname="1" colnum="1" colwidth="30"/>
                      <colspec colname="2" colnum="2" colwidth="69"/>
                      <tbody>
                        <row>
                          <entry nameend="2" namest="1" valign="top">
                            <para align="center">
                              <paratext>
                                <bold>FORM OF TENDER: TENDER CERTIFICATE</bold>
                              </paratext>
                            </para>
                          </entry>
                        </row>
                        <row>
                          <entry nameend="2" namest="1" valign="top">
                            <para align="left">
                              <paratext>TO: [NAME OF AUTHORITY]</paratext>
                            </para>
                          </entry>
                        </row>
                        <row>
                          <entry nameend="2" namest="1" valign="top">
                            <para align="left">
                              <paratext>DATE: [DATE]</paratext>
                            </para>
                          </entry>
                        </row>
                        <row>
                          <entry nameend="2" namest="1" valign="top">
                            <para align="left">
                              <paratext>PROVISION OF: [TITLE OF CONTRACT]</paratext>
                            </para>
                          </entry>
                        </row>
                        <row>
                          <entry nameend="2" namest="1" valign="top">
                            <para align="left">
                              <paratext>REFERENCE NUMBER: [CONTRACT NOTICE REFERENCE NUMBER]</paratext>
                            </para>
                          </entry>
                        </row>
                        <row>
                          <entry nameend="2" namest="1" valign="top">
                            <para align="left">
                              <paratext>We [INSERT NAME[S]] the undersigned, having examined the ITT and all other schedules, do hereby offer to provide [NAME OF SERVICES] as specified in those documents and in accordance with the attached documentation to the Authority commencing [DATE] and continuing for the period specified in the Contract.</paratext>
                            </para>
                            <para align="left">
                              <paratext>If this offer is accepted, we will execute such documents in the form of the Contract within [NUMBER] days of being called on to do so.</paratext>
                            </para>
                            <para align="left">
                              <paratext>[We agree that before executing the Contract (and associated schedules) substantially in the form set out in the ITT, the formal acceptance of this Tender in writing by the Authority or such parts as may be specified, together with the contract documents attached hereto shall comprise a binding contract between the Authority and the [Tenderer]].</paratext>
                            </para>
                            <para align="left">
                              <paratext>
                                We further agree with the Authority in legally binding terms to comply with the provisions of confidentiality set out in 
                                <internal.reference refid="a400850">paragraph 3.9</internal.reference>
                                 of the ITT.
                              </paratext>
                            </para>
                            <para align="left">
                              <paratext>We further undertake and it shall be a condition of any Contract, that:</paratext>
                            </para>
                            <para align="left">
                              <paratext>
                                The amount or content of [my 
                                <bold>OR</bold>
                                 our] Tender has not been devised or calculated by agreement or arrangement with any person other than the Authority and that the content or amount of [my 
                                <bold>OR</bold>
                                 our] Tender has not been communicated to any person until after the closing date for the submission of Tenders and in any event not without the consent of the Authority.
                              </paratext>
                            </para>
                            <para align="left">
                              <paratex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paratext>
                            </para>
                            <para align="left">
                              <paratext>We have not offered, promised or given any person working for or engaged by the Authority a financial or other advantage as an inducement or reward for any improper performance of a function or activity relating to this procurement.</paratext>
                            </para>
                            <para align="left">
                              <paratext>We warrant that we have all requisite authority to sign this Tender and confirm that we have complied with all the requirements of the ITT.</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For and on behalf of</paratext>
                            </para>
                          </entry>
                          <entry valign="top">
                            <para align="left">
                              <paratext>[NAME OF COMPANY, PARTNERS OR CONSORTIUM]</paratext>
                            </para>
                          </entry>
                        </row>
                      </tbody>
                    </tgroup>
                  </table>
                </paratext>
              </para>
            </clause>
          </schedule>
        </disclosure.schedule>
      </body>
      <rev.history>
        <rev.item>
          <rev.title>Annual review</rev.title>
          <rev.date>20220620</rev.date>
          <rev.author>Practical Law Public Sector</rev.author>
          <rev.body>
            <division id="a000001" level="1">
              <para>
                <paratext>Annual review of this template completed</paratext>
              </para>
            </division>
          </rev.body>
        </rev.item>
      </rev.history>
    </standard.doc>
  </n-docbody>
</n-document>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Props1.xml><?xml version="1.0" encoding="utf-8"?>
<ds:datastoreItem xmlns:ds="http://schemas.openxmlformats.org/officeDocument/2006/customXml" ds:itemID="{0F13623A-C857-45CD-8FF5-738EECAE4D2B}">
  <ds:schemaRefs>
    <ds:schemaRef ds:uri="http://schemas.microsoft.com/sharepoint/v3/contenttype/forms"/>
  </ds:schemaRefs>
</ds:datastoreItem>
</file>

<file path=customXml/itemProps2.xml><?xml version="1.0" encoding="utf-8"?>
<ds:datastoreItem xmlns:ds="http://schemas.openxmlformats.org/officeDocument/2006/customXml" ds:itemID="{E6D1746A-F7CB-4B88-B1FB-ECB3D5A4D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EB7E33-C700-4B03-94B3-A039FB6AB2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4.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5.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6.xml><?xml version="1.0" encoding="utf-8"?>
<ds:datastoreItem xmlns:ds="http://schemas.openxmlformats.org/officeDocument/2006/customXml" ds:itemID="{DDFAE056-3272-4CD6-9FC4-20D9502D709C}">
  <ds:schemaRefs>
    <ds:schemaRef ds:uri="http://www.w3.org/2001/XMLSchema"/>
  </ds:schemaRefs>
</ds:datastoreItem>
</file>

<file path=customXml/itemProps7.xml><?xml version="1.0" encoding="utf-8"?>
<ds:datastoreItem xmlns:ds="http://schemas.openxmlformats.org/officeDocument/2006/customXml" ds:itemID="{63C4EB58-810A-4190-BF35-FA19D5322E5C}">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Links>
    <vt:vector size="102" baseType="variant">
      <vt:variant>
        <vt:i4>1245236</vt:i4>
      </vt:variant>
      <vt:variant>
        <vt:i4>101</vt:i4>
      </vt:variant>
      <vt:variant>
        <vt:i4>0</vt:i4>
      </vt:variant>
      <vt:variant>
        <vt:i4>5</vt:i4>
      </vt:variant>
      <vt:variant>
        <vt:lpwstr/>
      </vt:variant>
      <vt:variant>
        <vt:lpwstr>_Toc256000016</vt:lpwstr>
      </vt:variant>
      <vt:variant>
        <vt:i4>1245236</vt:i4>
      </vt:variant>
      <vt:variant>
        <vt:i4>95</vt:i4>
      </vt:variant>
      <vt:variant>
        <vt:i4>0</vt:i4>
      </vt:variant>
      <vt:variant>
        <vt:i4>5</vt:i4>
      </vt:variant>
      <vt:variant>
        <vt:lpwstr/>
      </vt:variant>
      <vt:variant>
        <vt:lpwstr>_Toc256000015</vt:lpwstr>
      </vt:variant>
      <vt:variant>
        <vt:i4>1245236</vt:i4>
      </vt:variant>
      <vt:variant>
        <vt:i4>89</vt:i4>
      </vt:variant>
      <vt:variant>
        <vt:i4>0</vt:i4>
      </vt:variant>
      <vt:variant>
        <vt:i4>5</vt:i4>
      </vt:variant>
      <vt:variant>
        <vt:lpwstr/>
      </vt:variant>
      <vt:variant>
        <vt:lpwstr>_Toc256000014</vt:lpwstr>
      </vt:variant>
      <vt:variant>
        <vt:i4>1245236</vt:i4>
      </vt:variant>
      <vt:variant>
        <vt:i4>83</vt:i4>
      </vt:variant>
      <vt:variant>
        <vt:i4>0</vt:i4>
      </vt:variant>
      <vt:variant>
        <vt:i4>5</vt:i4>
      </vt:variant>
      <vt:variant>
        <vt:lpwstr/>
      </vt:variant>
      <vt:variant>
        <vt:lpwstr>_Toc256000013</vt:lpwstr>
      </vt:variant>
      <vt:variant>
        <vt:i4>1245236</vt:i4>
      </vt:variant>
      <vt:variant>
        <vt:i4>77</vt:i4>
      </vt:variant>
      <vt:variant>
        <vt:i4>0</vt:i4>
      </vt:variant>
      <vt:variant>
        <vt:i4>5</vt:i4>
      </vt:variant>
      <vt:variant>
        <vt:lpwstr/>
      </vt:variant>
      <vt:variant>
        <vt:lpwstr>_Toc256000012</vt:lpwstr>
      </vt:variant>
      <vt:variant>
        <vt:i4>1245236</vt:i4>
      </vt:variant>
      <vt:variant>
        <vt:i4>71</vt:i4>
      </vt:variant>
      <vt:variant>
        <vt:i4>0</vt:i4>
      </vt:variant>
      <vt:variant>
        <vt:i4>5</vt:i4>
      </vt:variant>
      <vt:variant>
        <vt:lpwstr/>
      </vt:variant>
      <vt:variant>
        <vt:lpwstr>_Toc256000011</vt:lpwstr>
      </vt:variant>
      <vt:variant>
        <vt:i4>1245236</vt:i4>
      </vt:variant>
      <vt:variant>
        <vt:i4>65</vt:i4>
      </vt:variant>
      <vt:variant>
        <vt:i4>0</vt:i4>
      </vt:variant>
      <vt:variant>
        <vt:i4>5</vt:i4>
      </vt:variant>
      <vt:variant>
        <vt:lpwstr/>
      </vt:variant>
      <vt:variant>
        <vt:lpwstr>_Toc256000010</vt:lpwstr>
      </vt:variant>
      <vt:variant>
        <vt:i4>1179700</vt:i4>
      </vt:variant>
      <vt:variant>
        <vt:i4>59</vt:i4>
      </vt:variant>
      <vt:variant>
        <vt:i4>0</vt:i4>
      </vt:variant>
      <vt:variant>
        <vt:i4>5</vt:i4>
      </vt:variant>
      <vt:variant>
        <vt:lpwstr/>
      </vt:variant>
      <vt:variant>
        <vt:lpwstr>_Toc256000009</vt:lpwstr>
      </vt:variant>
      <vt:variant>
        <vt:i4>1179700</vt:i4>
      </vt:variant>
      <vt:variant>
        <vt:i4>53</vt:i4>
      </vt:variant>
      <vt:variant>
        <vt:i4>0</vt:i4>
      </vt:variant>
      <vt:variant>
        <vt:i4>5</vt:i4>
      </vt:variant>
      <vt:variant>
        <vt:lpwstr/>
      </vt:variant>
      <vt:variant>
        <vt:lpwstr>_Toc256000008</vt:lpwstr>
      </vt:variant>
      <vt:variant>
        <vt:i4>1179700</vt:i4>
      </vt:variant>
      <vt:variant>
        <vt:i4>47</vt:i4>
      </vt:variant>
      <vt:variant>
        <vt:i4>0</vt:i4>
      </vt:variant>
      <vt:variant>
        <vt:i4>5</vt:i4>
      </vt:variant>
      <vt:variant>
        <vt:lpwstr/>
      </vt:variant>
      <vt:variant>
        <vt:lpwstr>_Toc256000007</vt:lpwstr>
      </vt:variant>
      <vt:variant>
        <vt:i4>1179700</vt:i4>
      </vt:variant>
      <vt:variant>
        <vt:i4>41</vt:i4>
      </vt:variant>
      <vt:variant>
        <vt:i4>0</vt:i4>
      </vt:variant>
      <vt:variant>
        <vt:i4>5</vt:i4>
      </vt:variant>
      <vt:variant>
        <vt:lpwstr/>
      </vt:variant>
      <vt:variant>
        <vt:lpwstr>_Toc256000006</vt:lpwstr>
      </vt:variant>
      <vt:variant>
        <vt:i4>1966134</vt:i4>
      </vt:variant>
      <vt:variant>
        <vt:i4>32</vt:i4>
      </vt:variant>
      <vt:variant>
        <vt:i4>0</vt:i4>
      </vt:variant>
      <vt:variant>
        <vt:i4>5</vt:i4>
      </vt:variant>
      <vt:variant>
        <vt:lpwstr/>
      </vt:variant>
      <vt:variant>
        <vt:lpwstr>_Toc190335466</vt:lpwstr>
      </vt:variant>
      <vt:variant>
        <vt:i4>1966134</vt:i4>
      </vt:variant>
      <vt:variant>
        <vt:i4>26</vt:i4>
      </vt:variant>
      <vt:variant>
        <vt:i4>0</vt:i4>
      </vt:variant>
      <vt:variant>
        <vt:i4>5</vt:i4>
      </vt:variant>
      <vt:variant>
        <vt:lpwstr/>
      </vt:variant>
      <vt:variant>
        <vt:lpwstr>_Toc190335465</vt:lpwstr>
      </vt:variant>
      <vt:variant>
        <vt:i4>1966134</vt:i4>
      </vt:variant>
      <vt:variant>
        <vt:i4>20</vt:i4>
      </vt:variant>
      <vt:variant>
        <vt:i4>0</vt:i4>
      </vt:variant>
      <vt:variant>
        <vt:i4>5</vt:i4>
      </vt:variant>
      <vt:variant>
        <vt:lpwstr/>
      </vt:variant>
      <vt:variant>
        <vt:lpwstr>_Toc190335464</vt:lpwstr>
      </vt:variant>
      <vt:variant>
        <vt:i4>1966134</vt:i4>
      </vt:variant>
      <vt:variant>
        <vt:i4>14</vt:i4>
      </vt:variant>
      <vt:variant>
        <vt:i4>0</vt:i4>
      </vt:variant>
      <vt:variant>
        <vt:i4>5</vt:i4>
      </vt:variant>
      <vt:variant>
        <vt:lpwstr/>
      </vt:variant>
      <vt:variant>
        <vt:lpwstr>_Toc190335463</vt:lpwstr>
      </vt:variant>
      <vt:variant>
        <vt:i4>1966134</vt:i4>
      </vt:variant>
      <vt:variant>
        <vt:i4>8</vt:i4>
      </vt:variant>
      <vt:variant>
        <vt:i4>0</vt:i4>
      </vt:variant>
      <vt:variant>
        <vt:i4>5</vt:i4>
      </vt:variant>
      <vt:variant>
        <vt:lpwstr/>
      </vt:variant>
      <vt:variant>
        <vt:lpwstr>_Toc190335462</vt:lpwstr>
      </vt:variant>
      <vt:variant>
        <vt:i4>1966134</vt:i4>
      </vt:variant>
      <vt:variant>
        <vt:i4>2</vt:i4>
      </vt:variant>
      <vt:variant>
        <vt:i4>0</vt:i4>
      </vt:variant>
      <vt:variant>
        <vt:i4>5</vt:i4>
      </vt:variant>
      <vt:variant>
        <vt:lpwstr/>
      </vt:variant>
      <vt:variant>
        <vt:lpwstr>_Toc190335461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Campfield</dc:creator>
  <cp:keywords/>
  <cp:lastModifiedBy>Trevor Armstrong</cp:lastModifiedBy>
  <cp:revision>9</cp:revision>
  <dcterms:created xsi:type="dcterms:W3CDTF">2025-08-20T08:36:00Z</dcterms:created>
  <dcterms:modified xsi:type="dcterms:W3CDTF">2025-09-17T12:58:00Z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ies>
</file>